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00B8FF"/>
  <w:body>
    <w:p w:rsidR="00FE7484" w:rsidRPr="00396B9D" w:rsidRDefault="00FE7484" w:rsidP="00396B9D">
      <w:pPr>
        <w:spacing w:line="360" w:lineRule="auto"/>
        <w:jc w:val="both"/>
        <w:rPr>
          <w:lang w:val="es-MX"/>
        </w:rPr>
      </w:pPr>
      <w:bookmarkStart w:id="0" w:name="_GoBack"/>
      <w:bookmarkEnd w:id="0"/>
      <w:r w:rsidRPr="00396B9D">
        <w:rPr>
          <w:lang w:val="es-MX"/>
        </w:rPr>
        <w:t>SUPREMA CORTE DE JUSTICIA - SALA PRIMERA</w:t>
      </w:r>
    </w:p>
    <w:p w:rsidR="00FE7484" w:rsidRPr="00396B9D" w:rsidRDefault="00FE7484" w:rsidP="00396B9D">
      <w:pPr>
        <w:spacing w:line="360" w:lineRule="auto"/>
        <w:jc w:val="both"/>
        <w:rPr>
          <w:lang w:val="es-MX"/>
        </w:rPr>
      </w:pPr>
      <w:r w:rsidRPr="00396B9D">
        <w:rPr>
          <w:lang w:val="es-MX"/>
        </w:rPr>
        <w:t>PODER JUDICIAL MENDOZA</w:t>
      </w: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r w:rsidRPr="00396B9D">
        <w:rPr>
          <w:lang w:val="es-MX"/>
        </w:rPr>
        <w:t>foja: 183</w:t>
      </w:r>
    </w:p>
    <w:p w:rsidR="00FE7484" w:rsidRPr="00396B9D" w:rsidRDefault="00FE7484" w:rsidP="00396B9D">
      <w:pPr>
        <w:spacing w:line="360" w:lineRule="auto"/>
        <w:jc w:val="both"/>
        <w:rPr>
          <w:lang w:val="es-MX"/>
        </w:rPr>
      </w:pPr>
      <w:r w:rsidRPr="00396B9D">
        <w:rPr>
          <w:lang w:val="es-MX"/>
        </w:rPr>
        <w:t>CUIJ: 13-02132982-1/1((010301-50353))</w:t>
      </w:r>
    </w:p>
    <w:p w:rsidR="00FE7484" w:rsidRPr="00396B9D" w:rsidRDefault="00FE7484" w:rsidP="00396B9D">
      <w:pPr>
        <w:spacing w:line="360" w:lineRule="auto"/>
        <w:jc w:val="both"/>
        <w:rPr>
          <w:lang w:val="es-MX"/>
        </w:rPr>
      </w:pPr>
      <w:r w:rsidRPr="00396B9D">
        <w:rPr>
          <w:lang w:val="es-MX"/>
        </w:rPr>
        <w:t>R. R. EN J° 114749/50353 R.R. C/ C. S.R.L. Y OTS S/ DYP P/ REC.EXT.DE INCONSTIT-CASACIÓN</w:t>
      </w:r>
    </w:p>
    <w:p w:rsidR="00FE7484" w:rsidRPr="00396B9D" w:rsidRDefault="00FE7484" w:rsidP="00396B9D">
      <w:pPr>
        <w:spacing w:line="360" w:lineRule="auto"/>
        <w:jc w:val="both"/>
        <w:rPr>
          <w:lang w:val="es-MX"/>
        </w:rPr>
      </w:pPr>
      <w:r w:rsidRPr="00396B9D">
        <w:rPr>
          <w:lang w:val="es-MX"/>
        </w:rPr>
        <w:t>*102153409*</w:t>
      </w:r>
    </w:p>
    <w:p w:rsidR="00FE7484" w:rsidRPr="00396B9D" w:rsidRDefault="00FE7484" w:rsidP="00396B9D">
      <w:pPr>
        <w:spacing w:line="360" w:lineRule="auto"/>
        <w:jc w:val="both"/>
        <w:rPr>
          <w:lang w:val="es-MX"/>
        </w:rPr>
      </w:pPr>
      <w:r w:rsidRPr="00396B9D">
        <w:rPr>
          <w:lang w:val="es-MX"/>
        </w:rPr>
        <w:t>En Mendoza, a los tres días del mes de noviembre del año dos mil quince, reunida la Sala Primera de la Excma. Suprema Corte de Justicia, tomó en consideración para dictar sentencia definitiva la causa n° 13-02132982-1/1, caratulada: "R.R. EN J°114.749/50.353 R.R. C/C. S.R.L. Y OTS. P/D. Y P. S/INC. CAS.”.-</w:t>
      </w:r>
    </w:p>
    <w:p w:rsidR="00FE7484" w:rsidRPr="00396B9D" w:rsidRDefault="00FE7484" w:rsidP="00396B9D">
      <w:pPr>
        <w:spacing w:line="360" w:lineRule="auto"/>
        <w:jc w:val="both"/>
        <w:rPr>
          <w:lang w:val="es-MX"/>
        </w:rPr>
      </w:pPr>
      <w:r w:rsidRPr="00396B9D">
        <w:rPr>
          <w:lang w:val="es-MX"/>
        </w:rPr>
        <w:t>Conforme lo decretado a fs. 182 se deja constancia del orden de estudio efectuado en la causa para el tratamiento de las cuestiones por parte de los Señores Ministros del Tribunal: primero: DR. ALEJANDRO PÉREZ HUALDE; segunda: DR. JORGE H. NANCLARES y tercero: DR. JULIO R. GÓMEZ.</w:t>
      </w:r>
    </w:p>
    <w:p w:rsidR="00FE7484" w:rsidRPr="00396B9D" w:rsidRDefault="00FE7484" w:rsidP="00396B9D">
      <w:pPr>
        <w:spacing w:line="360" w:lineRule="auto"/>
        <w:jc w:val="both"/>
        <w:rPr>
          <w:lang w:val="es-MX"/>
        </w:rPr>
      </w:pPr>
      <w:r w:rsidRPr="00396B9D">
        <w:rPr>
          <w:lang w:val="es-MX"/>
        </w:rPr>
        <w:t>ANTECEDENTES:</w:t>
      </w:r>
    </w:p>
    <w:p w:rsidR="00FE7484" w:rsidRPr="00396B9D" w:rsidRDefault="00FE7484" w:rsidP="00396B9D">
      <w:pPr>
        <w:spacing w:line="360" w:lineRule="auto"/>
        <w:jc w:val="both"/>
        <w:rPr>
          <w:lang w:val="es-MX"/>
        </w:rPr>
      </w:pPr>
      <w:r w:rsidRPr="00396B9D">
        <w:rPr>
          <w:lang w:val="es-MX"/>
        </w:rPr>
        <w:t>A fs. 45/75 la actora por intermedio de representante conforme ratificación, articula recursos extraordinarios de Inconstitucionalidad y Casación contra la sentencia dictada por la Primera Cámara de Apelaciones en lo Civil, Comercial, Minas, de Paz y Tributario de la Primera Circunscripción Judicial, en los autos N° 114.749/50.353, caratulados: “R.R. C/C. S.R.L. Y OTS. P/D. Y P.”</w:t>
      </w:r>
    </w:p>
    <w:p w:rsidR="00FE7484" w:rsidRPr="00396B9D" w:rsidRDefault="00FE7484" w:rsidP="00396B9D">
      <w:pPr>
        <w:spacing w:line="360" w:lineRule="auto"/>
        <w:jc w:val="both"/>
        <w:rPr>
          <w:lang w:val="es-MX"/>
        </w:rPr>
      </w:pPr>
      <w:r w:rsidRPr="00396B9D">
        <w:rPr>
          <w:lang w:val="es-MX"/>
        </w:rPr>
        <w:t>A fs. 88 se aceptan ambos recursos, disponiéndose su traslado a los demandados, a saber:</w:t>
      </w:r>
    </w:p>
    <w:p w:rsidR="00FE7484" w:rsidRPr="00396B9D" w:rsidRDefault="00FE7484" w:rsidP="00396B9D">
      <w:pPr>
        <w:spacing w:line="360" w:lineRule="auto"/>
        <w:jc w:val="both"/>
        <w:rPr>
          <w:lang w:val="es-MX"/>
        </w:rPr>
      </w:pPr>
      <w:r w:rsidRPr="00396B9D">
        <w:rPr>
          <w:lang w:val="es-MX"/>
        </w:rPr>
        <w:t>a-Carlos Dierna por sí y como heredero del Sr. Francisco Dierna; Mirta Delana por sí y Rosario Rinaldi como heredera del Sr. Francisco Dierna;</w:t>
      </w:r>
    </w:p>
    <w:p w:rsidR="00FE7484" w:rsidRPr="00396B9D" w:rsidRDefault="00FE7484" w:rsidP="00396B9D">
      <w:pPr>
        <w:spacing w:line="360" w:lineRule="auto"/>
        <w:jc w:val="both"/>
        <w:rPr>
          <w:lang w:val="es-MX"/>
        </w:rPr>
      </w:pPr>
      <w:r w:rsidRPr="00396B9D">
        <w:rPr>
          <w:lang w:val="es-MX"/>
        </w:rPr>
        <w:t>b-FIBROPOL S.A. y Sergio Blas Dierna por sí, Dante Claudio Amelio por sí, Rosa Nacif, Cecilia Judith Amelio y Dante Claudio Amelio como herederos del Sr. Carmelo Amelio;</w:t>
      </w:r>
    </w:p>
    <w:p w:rsidR="00FE7484" w:rsidRPr="00396B9D" w:rsidRDefault="00FE7484" w:rsidP="00396B9D">
      <w:pPr>
        <w:spacing w:line="360" w:lineRule="auto"/>
        <w:jc w:val="both"/>
        <w:rPr>
          <w:lang w:val="es-MX"/>
        </w:rPr>
      </w:pPr>
      <w:r w:rsidRPr="00396B9D">
        <w:rPr>
          <w:lang w:val="es-MX"/>
        </w:rPr>
        <w:t>c-CAVILT S.R.L., Francisco Dierna, Francisco Alberto Rinaldi y Blas Francisco Dierna por sí;</w:t>
      </w:r>
    </w:p>
    <w:p w:rsidR="00FE7484" w:rsidRPr="00396B9D" w:rsidRDefault="00FE7484" w:rsidP="00396B9D">
      <w:pPr>
        <w:spacing w:line="360" w:lineRule="auto"/>
        <w:jc w:val="both"/>
        <w:rPr>
          <w:lang w:val="es-MX"/>
        </w:rPr>
      </w:pPr>
      <w:r w:rsidRPr="00396B9D">
        <w:rPr>
          <w:lang w:val="es-MX"/>
        </w:rPr>
        <w:t>d- Norma Rita Zaneta Algañaraz, Diego Darío Dierna y Dante Enrique Dierna, todos como herederos del Sr. Enrique Blas Dierna.</w:t>
      </w:r>
    </w:p>
    <w:p w:rsidR="00FE7484" w:rsidRPr="00396B9D" w:rsidRDefault="00FE7484" w:rsidP="00396B9D">
      <w:pPr>
        <w:spacing w:line="360" w:lineRule="auto"/>
        <w:jc w:val="both"/>
        <w:rPr>
          <w:lang w:val="es-MX"/>
        </w:rPr>
      </w:pPr>
      <w:r w:rsidRPr="00396B9D">
        <w:rPr>
          <w:lang w:val="es-MX"/>
        </w:rPr>
        <w:t>A fs. 89/97 contestan los demandados individualizados en el punto d), a fs. 104/116 y 119/131, los del grupo b), a fs. 134/138 vta. los del grupo c), a fs. 141/148 los demandados del grupo a), todos solicitando el rechazo de los recursos intentados.</w:t>
      </w:r>
    </w:p>
    <w:p w:rsidR="00FE7484" w:rsidRPr="00396B9D" w:rsidRDefault="00FE7484" w:rsidP="00396B9D">
      <w:pPr>
        <w:spacing w:line="360" w:lineRule="auto"/>
        <w:jc w:val="both"/>
        <w:rPr>
          <w:lang w:val="es-MX"/>
        </w:rPr>
      </w:pPr>
      <w:r w:rsidRPr="00396B9D">
        <w:rPr>
          <w:lang w:val="es-MX"/>
        </w:rPr>
        <w:t>A fs. 165/166 vta. el Sr. Procurador General contesta la vista conferida, aconsejando rechazar los recursos interpuestos.</w:t>
      </w:r>
    </w:p>
    <w:p w:rsidR="00FE7484" w:rsidRPr="00396B9D" w:rsidRDefault="00FE7484" w:rsidP="00396B9D">
      <w:pPr>
        <w:spacing w:line="360" w:lineRule="auto"/>
        <w:jc w:val="both"/>
        <w:rPr>
          <w:lang w:val="es-MX"/>
        </w:rPr>
      </w:pPr>
      <w:r w:rsidRPr="00396B9D">
        <w:rPr>
          <w:lang w:val="es-MX"/>
        </w:rPr>
        <w:t>A fs. 180 el Síndico de la fallida toma intervención y contesta la vista conferida manifestando no tener nada que aportar en los presentes.</w:t>
      </w:r>
    </w:p>
    <w:p w:rsidR="00FE7484" w:rsidRPr="00396B9D" w:rsidRDefault="00FE7484" w:rsidP="00396B9D">
      <w:pPr>
        <w:spacing w:line="360" w:lineRule="auto"/>
        <w:jc w:val="both"/>
        <w:rPr>
          <w:lang w:val="es-MX"/>
        </w:rPr>
      </w:pPr>
      <w:r w:rsidRPr="00396B9D">
        <w:rPr>
          <w:lang w:val="es-MX"/>
        </w:rPr>
        <w:t>A fs. 182 se practica nuevo sorteo de la causa, y se ordenan regir el plazo para dictar sentencia dispuesto a fs. 172.</w:t>
      </w:r>
    </w:p>
    <w:p w:rsidR="00FE7484" w:rsidRPr="00396B9D" w:rsidRDefault="00FE7484" w:rsidP="00396B9D">
      <w:pPr>
        <w:spacing w:line="360" w:lineRule="auto"/>
        <w:jc w:val="both"/>
        <w:rPr>
          <w:lang w:val="es-MX"/>
        </w:rPr>
      </w:pPr>
      <w:r w:rsidRPr="00396B9D">
        <w:rPr>
          <w:lang w:val="es-MX"/>
        </w:rPr>
        <w:t>De conformidad con lo establecido en el art. 160 de la Constitución de la Provincia, esta Sala se plantea las siguientes cuestiones a resolver:</w:t>
      </w:r>
    </w:p>
    <w:p w:rsidR="00FE7484" w:rsidRPr="00396B9D" w:rsidRDefault="00FE7484" w:rsidP="00396B9D">
      <w:pPr>
        <w:spacing w:line="360" w:lineRule="auto"/>
        <w:jc w:val="both"/>
        <w:rPr>
          <w:lang w:val="es-MX"/>
        </w:rPr>
      </w:pPr>
      <w:r w:rsidRPr="00396B9D">
        <w:rPr>
          <w:lang w:val="es-MX"/>
        </w:rPr>
        <w:t>PRIMERA CUESTION: ¿Son procedentes los recursos de Inconstitucionalidad y Casación interpuestos?</w:t>
      </w:r>
    </w:p>
    <w:p w:rsidR="00FE7484" w:rsidRPr="00396B9D" w:rsidRDefault="00FE7484" w:rsidP="00396B9D">
      <w:pPr>
        <w:spacing w:line="360" w:lineRule="auto"/>
        <w:jc w:val="both"/>
        <w:rPr>
          <w:lang w:val="es-MX"/>
        </w:rPr>
      </w:pPr>
      <w:r w:rsidRPr="00396B9D">
        <w:rPr>
          <w:lang w:val="es-MX"/>
        </w:rPr>
        <w:t>SEGUNDA CUESTIÓN: En su caso, ¿qué solución corresponde?</w:t>
      </w:r>
    </w:p>
    <w:p w:rsidR="00FE7484" w:rsidRPr="00396B9D" w:rsidRDefault="00FE7484" w:rsidP="00396B9D">
      <w:pPr>
        <w:spacing w:line="360" w:lineRule="auto"/>
        <w:jc w:val="both"/>
        <w:rPr>
          <w:lang w:val="es-MX"/>
        </w:rPr>
      </w:pPr>
      <w:r w:rsidRPr="00396B9D">
        <w:rPr>
          <w:lang w:val="es-MX"/>
        </w:rPr>
        <w:t>TERCERA CUESTIÓN: Costas.</w:t>
      </w:r>
    </w:p>
    <w:p w:rsidR="00FE7484" w:rsidRPr="00396B9D" w:rsidRDefault="00FE7484" w:rsidP="00396B9D">
      <w:pPr>
        <w:spacing w:line="360" w:lineRule="auto"/>
        <w:jc w:val="both"/>
        <w:rPr>
          <w:lang w:val="es-MX"/>
        </w:rPr>
      </w:pPr>
      <w:r w:rsidRPr="00396B9D">
        <w:rPr>
          <w:lang w:val="es-MX"/>
        </w:rPr>
        <w:t>A LA PRIMERA CUESTIÓN EL DR. ALEJANDRO PÉREZ HUALDE, DIJO:</w:t>
      </w:r>
    </w:p>
    <w:p w:rsidR="00FE7484" w:rsidRPr="00396B9D" w:rsidRDefault="00FE7484" w:rsidP="00396B9D">
      <w:pPr>
        <w:spacing w:line="360" w:lineRule="auto"/>
        <w:jc w:val="both"/>
        <w:rPr>
          <w:lang w:val="es-MX"/>
        </w:rPr>
      </w:pPr>
      <w:r w:rsidRPr="00396B9D">
        <w:rPr>
          <w:lang w:val="es-MX"/>
        </w:rPr>
        <w:t>I. RELACIÓN SUCINTA DE LOS HECHOS DE LA CAUSA.</w:t>
      </w:r>
    </w:p>
    <w:p w:rsidR="00FE7484" w:rsidRPr="00396B9D" w:rsidRDefault="00FE7484" w:rsidP="00396B9D">
      <w:pPr>
        <w:spacing w:line="360" w:lineRule="auto"/>
        <w:jc w:val="both"/>
        <w:rPr>
          <w:lang w:val="es-MX"/>
        </w:rPr>
      </w:pPr>
      <w:r w:rsidRPr="00396B9D">
        <w:rPr>
          <w:lang w:val="es-MX"/>
        </w:rPr>
        <w:t>Los hechos relevantes para la resolución del recurso interpuesto, son los siguientes:</w:t>
      </w:r>
    </w:p>
    <w:p w:rsidR="00FE7484" w:rsidRPr="00396B9D" w:rsidRDefault="00FE7484" w:rsidP="00396B9D">
      <w:pPr>
        <w:spacing w:line="360" w:lineRule="auto"/>
        <w:jc w:val="both"/>
        <w:rPr>
          <w:lang w:val="es-MX"/>
        </w:rPr>
      </w:pPr>
      <w:r w:rsidRPr="00396B9D">
        <w:rPr>
          <w:lang w:val="es-MX"/>
        </w:rPr>
        <w:t xml:space="preserve">1) El día 08-05-02 la Sra. Rosa Rinaldi, por sí, denunciando ser heredera del Sr. Salvador Rinaldi, pero sin acudir en representación de la sucesión, demandó -conforme medida previa rendida en autos-: a) Francisco Dierna, quien fallece en el transcurso del proceso, el que continúa con sus herederos: CARLOS DIERNA, MIRTA DELANA y ROSARIO RINALDI; b) Francisco Alberto Rinaldi; c) Blas Francisco Dierna Rinaldi; d) Enrique Blas Dierna, quien fallece en el transcurso del proceso, el </w:t>
      </w:r>
      <w:r w:rsidRPr="00396B9D">
        <w:rPr>
          <w:lang w:val="es-MX"/>
        </w:rPr>
        <w:lastRenderedPageBreak/>
        <w:t>que continúa con sus herederos: Norma Zaneta Algañaraz, Diego Darío Dierna y Daniel Enrique Dierna; e) Carmelo Amelio; quien fallece en el transcurso del proceso, el que continúa con sus herederos: Rosa Nacif, Cecila J. Amelio y Dante Amelio; f) Dante Claudio Amelio; g) Rubén Andrés Carrizo; h) Carlos Dierna; i) Mirta Delana; j) Cuyolit S.A; k) Fibrocuyo S.A; l) Cavilit S.R.L; m) H2O S.A; n) Fibropol S.A. o) Sergio Blas Dierna. Reclamó la suma de $ 548.000 como consecuencia del vaciamiento empresario y competencia desleal cometida por las empresas y socios demandados respecto de Cavilit S.R.L, con fundamento en los arts. 54 y 58 de la L.S., ya que desde el fallecimiento de su padre, socio mayoritario de Cavilit S.R.L., las empresas y personas demandadas, iniciaron un proceso que culminó en el vaciamiento de aquella sociedad.</w:t>
      </w:r>
    </w:p>
    <w:p w:rsidR="00FE7484" w:rsidRPr="00396B9D" w:rsidRDefault="00FE7484" w:rsidP="00396B9D">
      <w:pPr>
        <w:spacing w:line="360" w:lineRule="auto"/>
        <w:jc w:val="both"/>
        <w:rPr>
          <w:lang w:val="es-MX"/>
        </w:rPr>
      </w:pPr>
      <w:r w:rsidRPr="00396B9D">
        <w:rPr>
          <w:lang w:val="es-MX"/>
        </w:rPr>
        <w:t>En ampliación de demanda, manifestó estar legitimada como heredera del socio mayoritario de Cavilit S.R.L., y conforme el art. 9 punto 2 del contrato social, los herederos podían continuar en la sociedad en su lugar, designando un representante únicamente para el caso de las asambleas. Afirmó que a esta legitimación se agregaba la que le confería el art. 3450 C.C. según el cual el heredero está legitimado para ejercer aquellas acciones que tienden a proteger los bienes que en vida del causante formaban su patrimonio.</w:t>
      </w:r>
    </w:p>
    <w:p w:rsidR="00FE7484" w:rsidRPr="00396B9D" w:rsidRDefault="00FE7484" w:rsidP="00396B9D">
      <w:pPr>
        <w:spacing w:line="360" w:lineRule="auto"/>
        <w:jc w:val="both"/>
        <w:rPr>
          <w:lang w:val="es-MX"/>
        </w:rPr>
      </w:pPr>
      <w:r w:rsidRPr="00396B9D">
        <w:rPr>
          <w:lang w:val="es-MX"/>
        </w:rPr>
        <w:t>Finalmente, a fs. 451 y luego de la medida previa solicitada para determinar las personas a quienes debía demandar, concretó el objeto de la demanda: desestimar la personalidad societaria de Cavilit determinando la realidad patrimonial que socios y terceras personas han efectuado, a través de la utilización de distintos tipos societarios –también demandados- de conformidad con lo dispuesto por los arts. 54, 59, 270 y 274 de la L.S., y condenándose a los demandados en forma solidaria a responder por el daño provocado y reclamado en base a dicha circunstancia, a la accionante. Amplió el ofrecimiento de pruebas.</w:t>
      </w:r>
    </w:p>
    <w:p w:rsidR="00FE7484" w:rsidRPr="00396B9D" w:rsidRDefault="00FE7484" w:rsidP="00396B9D">
      <w:pPr>
        <w:spacing w:line="360" w:lineRule="auto"/>
        <w:jc w:val="both"/>
        <w:rPr>
          <w:lang w:val="es-MX"/>
        </w:rPr>
      </w:pPr>
      <w:r w:rsidRPr="00396B9D">
        <w:rPr>
          <w:lang w:val="es-MX"/>
        </w:rPr>
        <w:t>Relató que desde el fallecimiento de su padre (uno de los socios mayoritarios de Cavilit S.R.L., y a su vez uno de los tres socios gerentes) en el año ’93, comenzó un proceso de vaciamiento de la sociedad por parte de los restantes socios mayoritarios y gerentes (Humberto Rinaldi y Francisco Dierna) y demás familiares demandados, que comenzó cuando aquellos otorgaron poder especial de administración, adquisición y enajenación de bienes de Cavilit S.R.L. a favor de Francisco Alberto Rinaldi y Blas Francisco Dierna, (socios minoritarios primos entre sí) obteniendo así la facultad de administración y disposición de toda la sociedad. Efectuó un extenso relato de cada una de las situaciones que entendió ponían de manifiesto el vaciamiento empresario y competencia desleal que acusaba a los demandados.</w:t>
      </w:r>
    </w:p>
    <w:p w:rsidR="00FE7484" w:rsidRPr="00396B9D" w:rsidRDefault="00FE7484" w:rsidP="00396B9D">
      <w:pPr>
        <w:spacing w:line="360" w:lineRule="auto"/>
        <w:jc w:val="both"/>
        <w:rPr>
          <w:lang w:val="es-MX"/>
        </w:rPr>
      </w:pPr>
      <w:r w:rsidRPr="00396B9D">
        <w:rPr>
          <w:lang w:val="es-MX"/>
        </w:rPr>
        <w:t>Dentro de este extenso relato, cabe destacar, por ser de interés para la resolución de los presentes, que el día 16 de Septiembre de l.997, la accionante advirtió la confusión empresaria en el domicilio de Cuyolit S.A. (sociedad creada en 1995 por parientes de los socios de Cavilit y que tenía idéntico objeto, y contador), en calle San Juan 10.940, ya que se encontraba un camión de la firma Cavilit S.R.L. cargando tanques de Cuyolit S.A. conjuntamente con tanques Cavilit S.R.L., hecho que demostraba la competencia desleal y vinculación empresaria, y del cual solicitó constatación notarial. Además, extrajo fotos que fueron también certificadas en constancia de los hechos descriptos en el acta notarial de referencia. Siguió manifestando que estas maniobras siguieron, y culminaron con la presentación en concurso de Cavilit, ocurrida el 2 de agosto de 2.000.</w:t>
      </w:r>
    </w:p>
    <w:p w:rsidR="00FE7484" w:rsidRPr="00396B9D" w:rsidRDefault="00FE7484" w:rsidP="00396B9D">
      <w:pPr>
        <w:spacing w:line="360" w:lineRule="auto"/>
        <w:jc w:val="both"/>
        <w:rPr>
          <w:lang w:val="es-MX"/>
        </w:rPr>
      </w:pPr>
      <w:r w:rsidRPr="00396B9D">
        <w:rPr>
          <w:lang w:val="es-MX"/>
        </w:rPr>
        <w:t>2) El expediente, iniciado por ante el 15° Juzgado Civil, quedó radicado definitivamente en el 13° Juzgado Civil que recibió la causa el 13-10-04. Haciendo ejercicio de la opción que confiere el art. 15 L.S., la actora optó por la tramitación mediante proceso ordinario.</w:t>
      </w:r>
    </w:p>
    <w:p w:rsidR="00FE7484" w:rsidRPr="00396B9D" w:rsidRDefault="00FE7484" w:rsidP="00396B9D">
      <w:pPr>
        <w:spacing w:line="360" w:lineRule="auto"/>
        <w:jc w:val="both"/>
        <w:rPr>
          <w:lang w:val="es-MX"/>
        </w:rPr>
      </w:pPr>
      <w:r w:rsidRPr="00396B9D">
        <w:rPr>
          <w:lang w:val="es-MX"/>
        </w:rPr>
        <w:t>3) A fs. 598 los co-demandados CARLOS DIERNA y MIRTA DELANA opusieron defensa de PRESCRIPCIÓN de la acción de responsabilidad deducida en su contra a los términos del art. 4037 C.C. Expresaron que sólo la acción social de responsabilidad era de base contractual, no así la individual de un socio por los daños que supuestamente se le han ocasionado por la actuación de los administradores o cómplices, de base extracontractual, razón por la cual correspondía aplicar el plazo bienal previsto en el artículo referido.</w:t>
      </w:r>
    </w:p>
    <w:p w:rsidR="00FE7484" w:rsidRPr="00396B9D" w:rsidRDefault="00FE7484" w:rsidP="00396B9D">
      <w:pPr>
        <w:spacing w:line="360" w:lineRule="auto"/>
        <w:jc w:val="both"/>
        <w:rPr>
          <w:lang w:val="es-MX"/>
        </w:rPr>
      </w:pPr>
      <w:r w:rsidRPr="00396B9D">
        <w:rPr>
          <w:lang w:val="es-MX"/>
        </w:rPr>
        <w:t xml:space="preserve">4) A fs. 641/647 FIBROPOL S.A. planteó excepción de falta de legitimación sustancial pasiva ya que la actora no había acreditado que tuviese vinculación jurídica con Cavilit, ni que hubiese producido un perjuicio concreto sobre ella, ni explicaba de qué modo o en virtud de qué norma la señalaba responsable. En subsidio, contestó demanda negando tener vinculación con Cavilit </w:t>
      </w:r>
      <w:r w:rsidRPr="00396B9D">
        <w:rPr>
          <w:lang w:val="es-MX"/>
        </w:rPr>
        <w:lastRenderedPageBreak/>
        <w:t>ni procurar con su accionar vaciar a esta última. Sostuvo, además, que la actora tampoco especificaba el perjuicio supuestamente causado ni acreditaba el nexo causal ente el daño denunciado y el correcto accionar de su parte.</w:t>
      </w:r>
    </w:p>
    <w:p w:rsidR="00FE7484" w:rsidRPr="00396B9D" w:rsidRDefault="00FE7484" w:rsidP="00396B9D">
      <w:pPr>
        <w:spacing w:line="360" w:lineRule="auto"/>
        <w:jc w:val="both"/>
        <w:rPr>
          <w:lang w:val="es-MX"/>
        </w:rPr>
      </w:pPr>
      <w:r w:rsidRPr="00396B9D">
        <w:rPr>
          <w:lang w:val="es-MX"/>
        </w:rPr>
        <w:t>5) A fs. 665/668 contestó demanda FRANCISCO ALBERTO RINALDI. Expresó que teniendo la actora apoderados y el control y participación necesarios en la marcha de los negocios sociales, como también la totalidad de las medidas y remedios que prevé la Ley de Sociedades Comerciales en el caso, nada hizo, a excepción de remitir una carta documento cuatro años después de la muerte de su padre, y del inicio de esa temeraria demanda. Agregó que por lo tanto carecía de personería y legitimación procesal para reclamar, ya que no surgía de la sucesión del Sr. Salvador Rinaldi adjudicación de hijuelas en el mismo, y teniendo una parte indivisa la actora en el haber sucesorio, debió actuar con la debida autorización judicial, extremos obviados en autos. Añadió que tampoco estaban acreditados los presupuestos de procedencia de la responsabilidad, en especial los requisitos tipificantes del daño, el cual aparecía incierto y no probado.</w:t>
      </w:r>
    </w:p>
    <w:p w:rsidR="00FE7484" w:rsidRPr="00396B9D" w:rsidRDefault="00FE7484" w:rsidP="00396B9D">
      <w:pPr>
        <w:spacing w:line="360" w:lineRule="auto"/>
        <w:jc w:val="both"/>
        <w:rPr>
          <w:lang w:val="es-MX"/>
        </w:rPr>
      </w:pPr>
      <w:r w:rsidRPr="00396B9D">
        <w:rPr>
          <w:lang w:val="es-MX"/>
        </w:rPr>
        <w:t>6) En los mismos términos contestaron demanda BLAS FRANCISCO DIERNA y CAVILIT S.R.L. Sostuvieron que la actora no cumplió con el art. 13 del contrato social, de acuerdo al cual “cualquier cuestión o divergencia sobre la interpretación del contrato que surgiera durante su vigencia o al tiempo de disolverse o liquidarse la sociedad, ya sea entre los componentes de la misma o por los herederos del socio fallecido (…) sería dirimida por árbitros arbitradores nombrados uno por cada parte divergente…” siendo esa la instancia previa obligatoria a toda acción judicial y omitida por la accionante.</w:t>
      </w:r>
    </w:p>
    <w:p w:rsidR="00FE7484" w:rsidRPr="00396B9D" w:rsidRDefault="00FE7484" w:rsidP="00396B9D">
      <w:pPr>
        <w:spacing w:line="360" w:lineRule="auto"/>
        <w:jc w:val="both"/>
        <w:rPr>
          <w:lang w:val="es-MX"/>
        </w:rPr>
      </w:pPr>
      <w:r w:rsidRPr="00396B9D">
        <w:rPr>
          <w:lang w:val="es-MX"/>
        </w:rPr>
        <w:t>7) A fs. 764 CARLOS DIERNA por sí, y a fs. 769 MIRTA DELANA por sí, solicitaron el rechazo de la demanda por entender que la actora debió reclamar al representante que los herederos del fallecido socio mayoritario designaron para que actuara dentro de la sociedad en su representación. También sostuvieron que la acción intentada era improcedente porque se trataba de la prevista por el art. 279 L.S., es decir la que ejerce un tercero contra los directores y administradores de la sociedad por los perjuicios que su accionar le provocaran directamente en su patrimonio; desde que los daños invocados por la actora no eran aptos para generarle un perjuicio económico directo que habilitase su procedencia. Los hechos relatados en su demanda tampoco lograban encuadrar en alguna de las hipótesis previstas por el art. 54 de la L.S. para descorrer el velo de la personalidad jurídica societaria; y los daños invocados eran inciertos y carecían de las precisiones mínimas para su procedencia.</w:t>
      </w:r>
    </w:p>
    <w:p w:rsidR="00FE7484" w:rsidRPr="00396B9D" w:rsidRDefault="00FE7484" w:rsidP="00396B9D">
      <w:pPr>
        <w:spacing w:line="360" w:lineRule="auto"/>
        <w:jc w:val="both"/>
        <w:rPr>
          <w:lang w:val="es-MX"/>
        </w:rPr>
      </w:pPr>
      <w:r w:rsidRPr="00396B9D">
        <w:rPr>
          <w:lang w:val="es-MX"/>
        </w:rPr>
        <w:t>8) A fs. 774/779 CARLOS DIERNA y ROSARIO RINALDI, en su calidad de herederos del codemandado FRANCISCO DIERNA, plantearon la PRESCRIPCIÓN DE LA ACCIÓN fundados en lo dispuesto por el art. 4037 C.C. por ser la acción intentada la de un socio por los daños que supuestamente le han ocasionado la actuación de los administradores o cómplices de la sociedad (de base extracontractual). Afirmaron que desde que comenzaron las acciones que atribuye de vaciamiento empresario, hasta la interposición de la presente, el plazo de dos años se encontraba ampliamente cumplido. Sostuvieron que aún si correspondiere aplicar el plazo de 3 años previsto por el art. 848 inc. 1° del C. COM. igualmente estaría prescripta, pues la prescripción corría desde que se cometió el acto en violación de la ley, el estatuto o el reglamento, o desde que se produjeron los daños por dolo, abuso de facultades o culpa grave, ya que los daños alegados tuvieron lugar en el año 1993 (distribución de utilidades), 1995 (transferencia de marca Cuyolit), 1997 (confusión empresaria). En subsidio manifestaron que en todo caso debió dirigir su acción contra el representante que designaron como herederos del Sr. Salvador Rinaldi; y que carecía de legitimación sustancial activa, ya que la acción individual de responsabilidad prevista por el art. 279 L.S. a favor de accionistas y terceros contra los directores era de carácter personal, y la actora invocaba daños que no eran aptos para generarle un perjuicio económico directo, sino un perjuicio indirecto, que afectan de modo mediato su patrimonio a partir del mayor daño que habría soportado CAVILIT S.R.L. (y que además era incierto). Con respecto al pedido de desestimación de la personalidad de CAVILIT SRL y la imputación de su actuar directamente a sus socios, también postularon la falta de legitimación sustancial activa por no configurarse los presupuestos que habilitaran la aplicación del instituto peticionado, pues ni del parentesco entre algunos miembros de las sociedades referidas ni de la similitud de sus objetos sociales se podía válidamente entender acreditada la existencia de un uso abusivo de las estructuras societarias a fin de frustrar los derechos de la Sra. Rinaldi.</w:t>
      </w:r>
    </w:p>
    <w:p w:rsidR="00FE7484" w:rsidRPr="00396B9D" w:rsidRDefault="00FE7484" w:rsidP="00396B9D">
      <w:pPr>
        <w:spacing w:line="360" w:lineRule="auto"/>
        <w:jc w:val="both"/>
        <w:rPr>
          <w:lang w:val="es-MX"/>
        </w:rPr>
      </w:pPr>
      <w:r w:rsidRPr="00396B9D">
        <w:rPr>
          <w:lang w:val="es-MX"/>
        </w:rPr>
        <w:t>9) A fs. 783/793 contestaron demanda los herederos de CARMELO AMELIO: ROSA ESTER NACIF, JUDITH AMELIO y DANTE CLAUDIO AMELIO, quien además compareció por sí. Contestaron con los mismos argumentos que Fibropol S.A.</w:t>
      </w:r>
    </w:p>
    <w:p w:rsidR="00FE7484" w:rsidRPr="00396B9D" w:rsidRDefault="00FE7484" w:rsidP="00396B9D">
      <w:pPr>
        <w:spacing w:line="360" w:lineRule="auto"/>
        <w:jc w:val="both"/>
        <w:rPr>
          <w:lang w:val="es-MX"/>
        </w:rPr>
      </w:pPr>
      <w:r w:rsidRPr="00396B9D">
        <w:rPr>
          <w:lang w:val="es-MX"/>
        </w:rPr>
        <w:lastRenderedPageBreak/>
        <w:t>10) A fs. 799/802 la actora contestó las defensas de prescripción opuestas. Manifestó que la accionante reclamaba el resarcimiento por el daño sufrido como consecuencia del accionar en conjunto de todos los codemandados que colaboraron de una u otra forma en el vaciamiento empresario de Cavilit S.R.L., razón por la cual no era una acción cuya prescripción esté específicamente reglada, resultando por tanto aplicable la decenal prevista en el art. 846 C.COM. Asimismo entendió que el cómputo del plazo debía efectuarse a partir de la apertura en concurso preventivo de Cavilit S.R.L. producida el 22-09-00, lo que tornaba improcedente la prescripción articulada, atento a que la demanda se inició el 08-05-02.</w:t>
      </w:r>
    </w:p>
    <w:p w:rsidR="00FE7484" w:rsidRPr="00396B9D" w:rsidRDefault="00FE7484" w:rsidP="00396B9D">
      <w:pPr>
        <w:spacing w:line="360" w:lineRule="auto"/>
        <w:jc w:val="both"/>
        <w:rPr>
          <w:lang w:val="es-MX"/>
        </w:rPr>
      </w:pPr>
      <w:r w:rsidRPr="00396B9D">
        <w:rPr>
          <w:lang w:val="es-MX"/>
        </w:rPr>
        <w:t>11) A fs. 805 la actora denunció la declaración en quiebra de Cavilit S.R.L., tomando intervención el síndico a fs. 808 de autos.</w:t>
      </w:r>
    </w:p>
    <w:p w:rsidR="00FE7484" w:rsidRPr="00396B9D" w:rsidRDefault="00FE7484" w:rsidP="00396B9D">
      <w:pPr>
        <w:spacing w:line="360" w:lineRule="auto"/>
        <w:jc w:val="both"/>
        <w:rPr>
          <w:lang w:val="es-MX"/>
        </w:rPr>
      </w:pPr>
      <w:r w:rsidRPr="00396B9D">
        <w:rPr>
          <w:lang w:val="es-MX"/>
        </w:rPr>
        <w:t>12) A fs. 810 se declararon rebeldes a los siguientes demandados: Enrique Blas Dierna, Cuyolit S.A., Fibrocuyo S.A., Rubén Andrés Carrizo y H2O S.A.</w:t>
      </w:r>
    </w:p>
    <w:p w:rsidR="00FE7484" w:rsidRPr="00396B9D" w:rsidRDefault="00FE7484" w:rsidP="00396B9D">
      <w:pPr>
        <w:spacing w:line="360" w:lineRule="auto"/>
        <w:jc w:val="both"/>
        <w:rPr>
          <w:lang w:val="es-MX"/>
        </w:rPr>
      </w:pPr>
      <w:r w:rsidRPr="00396B9D">
        <w:rPr>
          <w:lang w:val="es-MX"/>
        </w:rPr>
        <w:t>13) Luego de un proceso extenso en sustanciación de pruebas; el 04-03-13 –fs. 3064/3090- el juez de primera instancia declaró prescripta la acción, sobre la base del siguiente razonamiento:</w:t>
      </w:r>
    </w:p>
    <w:p w:rsidR="00FE7484" w:rsidRPr="00396B9D" w:rsidRDefault="00FE7484" w:rsidP="00396B9D">
      <w:pPr>
        <w:spacing w:line="360" w:lineRule="auto"/>
        <w:jc w:val="both"/>
        <w:rPr>
          <w:lang w:val="es-MX"/>
        </w:rPr>
      </w:pPr>
      <w:r w:rsidRPr="00396B9D">
        <w:rPr>
          <w:lang w:val="es-MX"/>
        </w:rPr>
        <w:t>a) entre los codemandados existía un litisconsorcio pasivo necesario, de modo que las defensas interpuestas beneficiarían o perjudicarían a todos los litisconsortes por igual.</w:t>
      </w:r>
    </w:p>
    <w:p w:rsidR="00FE7484" w:rsidRPr="00396B9D" w:rsidRDefault="00FE7484" w:rsidP="00396B9D">
      <w:pPr>
        <w:spacing w:line="360" w:lineRule="auto"/>
        <w:jc w:val="both"/>
        <w:rPr>
          <w:lang w:val="es-MX"/>
        </w:rPr>
      </w:pPr>
      <w:r w:rsidRPr="00396B9D">
        <w:rPr>
          <w:lang w:val="es-MX"/>
        </w:rPr>
        <w:t>b) la Sra. Rinaldi se había presentado por derecho propio, no en el carácter de socio. Además tal calidad no se hereda y era su padre quien la ostentaba. En consecuencia, su legitimación resultaba extraña al emplazamiento de socio regido por la ley comercial.</w:t>
      </w:r>
    </w:p>
    <w:p w:rsidR="00FE7484" w:rsidRPr="00396B9D" w:rsidRDefault="00FE7484" w:rsidP="00396B9D">
      <w:pPr>
        <w:spacing w:line="360" w:lineRule="auto"/>
        <w:jc w:val="both"/>
        <w:rPr>
          <w:lang w:val="es-MX"/>
        </w:rPr>
      </w:pPr>
      <w:r w:rsidRPr="00396B9D">
        <w:rPr>
          <w:lang w:val="es-MX"/>
        </w:rPr>
        <w:t>c) el punto de partida del plazo de prescripción en el caso de responsabilidad extracontractual debía computarse a partir del momento en que el demandante tomó conocimiento de los daños reclamados, aunque fuesen de duración prolongada o indefinida.</w:t>
      </w:r>
    </w:p>
    <w:p w:rsidR="00FE7484" w:rsidRPr="00396B9D" w:rsidRDefault="00FE7484" w:rsidP="00396B9D">
      <w:pPr>
        <w:spacing w:line="360" w:lineRule="auto"/>
        <w:jc w:val="both"/>
        <w:rPr>
          <w:lang w:val="es-MX"/>
        </w:rPr>
      </w:pPr>
      <w:r w:rsidRPr="00396B9D">
        <w:rPr>
          <w:lang w:val="es-MX"/>
        </w:rPr>
        <w:t>d) aunque se considerara que en el año 1993 la actora pudo no tener conocimiento del daño en ciernes, ella misma al contestar la defensa reconoció que el diez a quo debe computarse desde la apertura del concurso preventivo de Cavilit S.R.L. ocurrido el 22-09-00, razón por la cual, habiéndose interpuesto la acción el 13-10-04, ésta estaba igualmente prescripta.</w:t>
      </w:r>
    </w:p>
    <w:p w:rsidR="00FE7484" w:rsidRPr="00396B9D" w:rsidRDefault="00FE7484" w:rsidP="00396B9D">
      <w:pPr>
        <w:spacing w:line="360" w:lineRule="auto"/>
        <w:jc w:val="both"/>
        <w:rPr>
          <w:lang w:val="es-MX"/>
        </w:rPr>
      </w:pPr>
      <w:r w:rsidRPr="00396B9D">
        <w:rPr>
          <w:lang w:val="es-MX"/>
        </w:rPr>
        <w:t>14) Apeló la actora. La Cámara, compartiendo el dictamen del Sr. Fiscal de Cámaras, confirmó la decisión de primera instancia con estos fundamentos:</w:t>
      </w:r>
    </w:p>
    <w:p w:rsidR="00FE7484" w:rsidRPr="00396B9D" w:rsidRDefault="00FE7484" w:rsidP="00396B9D">
      <w:pPr>
        <w:spacing w:line="360" w:lineRule="auto"/>
        <w:jc w:val="both"/>
        <w:rPr>
          <w:lang w:val="es-MX"/>
        </w:rPr>
      </w:pPr>
      <w:r w:rsidRPr="00396B9D">
        <w:rPr>
          <w:lang w:val="es-MX"/>
        </w:rPr>
        <w:t>a) era evidente el error material en que incurrió el juez de primera instancia al considerar la fecha de interposición de la demanda, siendo la correcta el 08-05-02.</w:t>
      </w:r>
    </w:p>
    <w:p w:rsidR="00FE7484" w:rsidRPr="00396B9D" w:rsidRDefault="00FE7484" w:rsidP="00396B9D">
      <w:pPr>
        <w:spacing w:line="360" w:lineRule="auto"/>
        <w:jc w:val="both"/>
        <w:rPr>
          <w:lang w:val="es-MX"/>
        </w:rPr>
      </w:pPr>
      <w:r w:rsidRPr="00396B9D">
        <w:rPr>
          <w:lang w:val="es-MX"/>
        </w:rPr>
        <w:t>b) la apelante no había criticado el plazo bienal previsto por el art. 4037 C.C. Los demandados opusieron la prescripción bienal -o en última instancia el trienal del art. 848 inc. 1° C.COM.- en contraposición a la actora que se defendió invocando el plazo decenal del art. 846 C.COM. Al sentenciar el juez no se hizo cargo de la controversia sino que aplicó lisa y llanamente el plazo bienal. No obstante, la actora al expresar agravios nada dijo sobre la omisión del juzgador en el análisis de dicha materia litigiosa, consintiendo de tal modo el plazo aplicado, e impidiéndole en esa etapa su análisis, por constituir tal cuestión cosa juzgada.</w:t>
      </w:r>
    </w:p>
    <w:p w:rsidR="00FE7484" w:rsidRPr="00396B9D" w:rsidRDefault="00FE7484" w:rsidP="00396B9D">
      <w:pPr>
        <w:spacing w:line="360" w:lineRule="auto"/>
        <w:jc w:val="both"/>
        <w:rPr>
          <w:lang w:val="es-MX"/>
        </w:rPr>
      </w:pPr>
      <w:r w:rsidRPr="00396B9D">
        <w:rPr>
          <w:lang w:val="es-MX"/>
        </w:rPr>
        <w:t>c) Respecto del momento de inicio del cómputo del plazo, éste sí debe revisarse, pues si bien los demandados no apelaron –ya que la sentencia resultó favorable en sus pretensiones-; al contestar los agravios controvirtieron la fecha considerada en primera instancia, defendiendo la posición adoptada en oportunidad de contestar demanda, cuando sostuvieron que los actos generadores de los daños reclamados se iniciaron a partir del 1993.</w:t>
      </w:r>
    </w:p>
    <w:p w:rsidR="00FE7484" w:rsidRPr="00396B9D" w:rsidRDefault="00FE7484" w:rsidP="00396B9D">
      <w:pPr>
        <w:spacing w:line="360" w:lineRule="auto"/>
        <w:jc w:val="both"/>
        <w:rPr>
          <w:lang w:val="es-MX"/>
        </w:rPr>
      </w:pPr>
      <w:r w:rsidRPr="00396B9D">
        <w:rPr>
          <w:lang w:val="es-MX"/>
        </w:rPr>
        <w:t>d) Conforme el pormenorizado análisis del relato de los hechos efectuado en la demanda, la acción quedó expedita y nació en beneficio de la actora el 16-09-97, fecha en que la Sra. Rinaldi advirtió la confusión empresaria en el domicilio de Cuyolit, como expresamente señalara. La presentación en concurso de Cavilit podrá importar la culminación de una serie de circunstancias a las que alude la actora, pero de ningún modo permiten concluir que es desde entonces que la actora tuvo expedita su acción.</w:t>
      </w:r>
    </w:p>
    <w:p w:rsidR="00FE7484" w:rsidRPr="00396B9D" w:rsidRDefault="00FE7484" w:rsidP="00396B9D">
      <w:pPr>
        <w:spacing w:line="360" w:lineRule="auto"/>
        <w:jc w:val="both"/>
        <w:rPr>
          <w:lang w:val="es-MX"/>
        </w:rPr>
      </w:pPr>
      <w:r w:rsidRPr="00396B9D">
        <w:rPr>
          <w:lang w:val="es-MX"/>
        </w:rPr>
        <w:t>e) Los hechos dañosos se iniciaron en el año ’93 y de ellos tomó conocimiento en el año ’97, lo que torna prescripta la acción intentada en mayo de 2002, de acuerdo al plazo de dos años aplicado en primera instancia y consentido por las partes.</w:t>
      </w:r>
    </w:p>
    <w:p w:rsidR="00FE7484" w:rsidRPr="00396B9D" w:rsidRDefault="00FE7484" w:rsidP="00396B9D">
      <w:pPr>
        <w:spacing w:line="360" w:lineRule="auto"/>
        <w:jc w:val="both"/>
        <w:rPr>
          <w:lang w:val="es-MX"/>
        </w:rPr>
      </w:pPr>
      <w:r w:rsidRPr="00396B9D">
        <w:rPr>
          <w:lang w:val="es-MX"/>
        </w:rPr>
        <w:t xml:space="preserve">f) Con relación a la regulación de honorarios de la cual también se agraviaba la actora, no corresponde aplicación de la norma prevista por el art. 505 C.C. modif. por la Ley 24.432, porque se aplica para el caso en que el vencido es el demandado. El artículo </w:t>
      </w:r>
      <w:r w:rsidRPr="00396B9D">
        <w:rPr>
          <w:lang w:val="es-MX"/>
        </w:rPr>
        <w:lastRenderedPageBreak/>
        <w:t>no impone un tope sino un límite cuantitativo para el caso de eventual ejecución del total regulado al condenado en costas, pudiendo reclamar la suma que exceda el 25% a su cliente.</w:t>
      </w:r>
    </w:p>
    <w:p w:rsidR="00FE7484" w:rsidRPr="00396B9D" w:rsidRDefault="00FE7484" w:rsidP="00396B9D">
      <w:pPr>
        <w:spacing w:line="360" w:lineRule="auto"/>
        <w:jc w:val="both"/>
        <w:rPr>
          <w:lang w:val="es-MX"/>
        </w:rPr>
      </w:pPr>
      <w:r w:rsidRPr="00396B9D">
        <w:rPr>
          <w:lang w:val="es-MX"/>
        </w:rPr>
        <w:t>Contra esta sentencia se agravia la actora interponiendo recursos extraordinarios de Inconstitucionalidad y Casación.</w:t>
      </w:r>
    </w:p>
    <w:p w:rsidR="00FE7484" w:rsidRPr="00396B9D" w:rsidRDefault="00FE7484" w:rsidP="00396B9D">
      <w:pPr>
        <w:spacing w:line="360" w:lineRule="auto"/>
        <w:jc w:val="both"/>
        <w:rPr>
          <w:lang w:val="es-MX"/>
        </w:rPr>
      </w:pPr>
      <w:r w:rsidRPr="00396B9D">
        <w:rPr>
          <w:lang w:val="es-MX"/>
        </w:rPr>
        <w:t>II.- LOS RECURSOS INTERPUESTOS.-</w:t>
      </w:r>
    </w:p>
    <w:p w:rsidR="00FE7484" w:rsidRPr="00396B9D" w:rsidRDefault="00FE7484" w:rsidP="00396B9D">
      <w:pPr>
        <w:spacing w:line="360" w:lineRule="auto"/>
        <w:jc w:val="both"/>
        <w:rPr>
          <w:lang w:val="es-MX"/>
        </w:rPr>
      </w:pPr>
      <w:r w:rsidRPr="00396B9D">
        <w:rPr>
          <w:lang w:val="es-MX"/>
        </w:rPr>
        <w:t>a) Recurso de Inconstitucionalidad:</w:t>
      </w:r>
    </w:p>
    <w:p w:rsidR="00FE7484" w:rsidRPr="00396B9D" w:rsidRDefault="00FE7484" w:rsidP="00396B9D">
      <w:pPr>
        <w:spacing w:line="360" w:lineRule="auto"/>
        <w:jc w:val="both"/>
        <w:rPr>
          <w:lang w:val="es-MX"/>
        </w:rPr>
      </w:pPr>
      <w:r w:rsidRPr="00396B9D">
        <w:rPr>
          <w:lang w:val="es-MX"/>
        </w:rPr>
        <w:t>Sustenta el mismo principalmente en la incongruencia que ostenta la sentencia recurrida, al expedirse en ella el tribunal sobre el momento del cómputo inicial del plazo de la prescripción, modificándolo de oficio, cuando el fijado por el juez de grado había sido consentido por las partes y no criticado por ninguna de ellas.</w:t>
      </w:r>
    </w:p>
    <w:p w:rsidR="00FE7484" w:rsidRPr="00396B9D" w:rsidRDefault="00FE7484" w:rsidP="00396B9D">
      <w:pPr>
        <w:spacing w:line="360" w:lineRule="auto"/>
        <w:jc w:val="both"/>
        <w:rPr>
          <w:lang w:val="es-MX"/>
        </w:rPr>
      </w:pPr>
      <w:r w:rsidRPr="00396B9D">
        <w:rPr>
          <w:lang w:val="es-MX"/>
        </w:rPr>
        <w:t>En este sentido, aduce que el recurso de apelación se interpuso sólo para salvar el error material inexcusable en que incurrió el juez de primera instancia en cuanto a la fecha de interposición de la demanda, pero en su lugar, luego de corregirlo la alzada cambia radicalmente la relación jurídica abordando el tema del “dies a quo”, excediendo el interés jurídico de la parte demandada, y olvidándose del suyo.</w:t>
      </w:r>
    </w:p>
    <w:p w:rsidR="00FE7484" w:rsidRPr="00396B9D" w:rsidRDefault="00FE7484" w:rsidP="00396B9D">
      <w:pPr>
        <w:spacing w:line="360" w:lineRule="auto"/>
        <w:jc w:val="both"/>
        <w:rPr>
          <w:lang w:val="es-MX"/>
        </w:rPr>
      </w:pPr>
      <w:r w:rsidRPr="00396B9D">
        <w:rPr>
          <w:lang w:val="es-MX"/>
        </w:rPr>
        <w:t>En seguimiento de este razonamiento, se agravia por haberse vulnerado el principio de igualdad, pues en la tesitura adoptada por la Cámara, también debió haber tratado la aplicación del plazo de diez años de la legislación comercial que su parte defendió durante el proceso, cuestión que aún advirtiéndola, se negó a tratar, por considerar que estaba consentida la aplicación del plazo bienal.</w:t>
      </w:r>
    </w:p>
    <w:p w:rsidR="00FE7484" w:rsidRPr="00396B9D" w:rsidRDefault="00FE7484" w:rsidP="00396B9D">
      <w:pPr>
        <w:spacing w:line="360" w:lineRule="auto"/>
        <w:jc w:val="both"/>
        <w:rPr>
          <w:lang w:val="es-MX"/>
        </w:rPr>
      </w:pPr>
      <w:r w:rsidRPr="00396B9D">
        <w:rPr>
          <w:lang w:val="es-MX"/>
        </w:rPr>
        <w:t>b) Recurso de Casación:</w:t>
      </w:r>
    </w:p>
    <w:p w:rsidR="00FE7484" w:rsidRPr="00396B9D" w:rsidRDefault="00FE7484" w:rsidP="00396B9D">
      <w:pPr>
        <w:spacing w:line="360" w:lineRule="auto"/>
        <w:jc w:val="both"/>
        <w:rPr>
          <w:lang w:val="es-MX"/>
        </w:rPr>
      </w:pPr>
      <w:r w:rsidRPr="00396B9D">
        <w:rPr>
          <w:lang w:val="es-MX"/>
        </w:rPr>
        <w:t>Como requisito de su procedencia, acusa la errónea interpretación de los arts. 41, 46 inc. 9, 136, 137 y 139 del C.P.C.; los arts. 3949, 3956, 4037 C.C. Y 846 C.COM.; y el art. 505 C.C. modif. por Ley 24.432.</w:t>
      </w:r>
    </w:p>
    <w:p w:rsidR="00FE7484" w:rsidRPr="00396B9D" w:rsidRDefault="00FE7484" w:rsidP="00396B9D">
      <w:pPr>
        <w:spacing w:line="360" w:lineRule="auto"/>
        <w:jc w:val="both"/>
        <w:rPr>
          <w:lang w:val="es-MX"/>
        </w:rPr>
      </w:pPr>
      <w:r w:rsidRPr="00396B9D">
        <w:rPr>
          <w:lang w:val="es-MX"/>
        </w:rPr>
        <w:t>Manifiesta que resultaba innecesario a su parte cuestionar la omisión y errónea aplicación del derecho efectuada por el sentenciante de grado, ya que con la sola corrección del error material cometido obtenía un resultado beneficioso para su parte, es decir, no tenía interés en discutir el plazo porque no le causaba perjuicio el aplicado por el juzgador.</w:t>
      </w:r>
    </w:p>
    <w:p w:rsidR="00FE7484" w:rsidRPr="00396B9D" w:rsidRDefault="00FE7484" w:rsidP="00396B9D">
      <w:pPr>
        <w:spacing w:line="360" w:lineRule="auto"/>
        <w:jc w:val="both"/>
        <w:rPr>
          <w:lang w:val="es-MX"/>
        </w:rPr>
      </w:pPr>
      <w:r w:rsidRPr="00396B9D">
        <w:rPr>
          <w:lang w:val="es-MX"/>
        </w:rPr>
        <w:t>Destaca que el tribunal de segunda instancia reconoció que la materia era eminentemente comercial y que el plazo del art. 4037 C.C. aplicado por el juez de grado se había efectuado sin hacerse cargo de la controversia que entre las partes había en la materia; no obstante omitió hacer valer el principio “iura novit curia”, aplicando el derecho que corresponde al instituto de la prescripción, pese a que el mismo es de interpretación restrictiva, no procede de oficio y es de orden público.</w:t>
      </w:r>
    </w:p>
    <w:p w:rsidR="00FE7484" w:rsidRPr="00396B9D" w:rsidRDefault="00FE7484" w:rsidP="00396B9D">
      <w:pPr>
        <w:spacing w:line="360" w:lineRule="auto"/>
        <w:jc w:val="both"/>
        <w:rPr>
          <w:lang w:val="es-MX"/>
        </w:rPr>
      </w:pPr>
      <w:r w:rsidRPr="00396B9D">
        <w:rPr>
          <w:lang w:val="es-MX"/>
        </w:rPr>
        <w:t>Añade que la Cámara hace una interpretación lineal de lo dispuesto por el art. 3956 C.C., pese a que en el caso el momento a partir del cual debía computarse la prescripción era a partir de que la actora sufriera el daño cierto y real, que le habilitara tener expedita la acción, y que en el caso se concretó el 22-09-00 cuando se declaró en concurso Cavilit.</w:t>
      </w:r>
    </w:p>
    <w:p w:rsidR="00FE7484" w:rsidRPr="00396B9D" w:rsidRDefault="00FE7484" w:rsidP="00396B9D">
      <w:pPr>
        <w:spacing w:line="360" w:lineRule="auto"/>
        <w:jc w:val="both"/>
        <w:rPr>
          <w:lang w:val="es-MX"/>
        </w:rPr>
      </w:pPr>
      <w:r w:rsidRPr="00396B9D">
        <w:rPr>
          <w:lang w:val="es-MX"/>
        </w:rPr>
        <w:t>III- NORMATIVA APLICABLE:</w:t>
      </w:r>
    </w:p>
    <w:p w:rsidR="00FE7484" w:rsidRPr="00396B9D" w:rsidRDefault="00FE7484" w:rsidP="00396B9D">
      <w:pPr>
        <w:spacing w:line="360" w:lineRule="auto"/>
        <w:jc w:val="both"/>
        <w:rPr>
          <w:lang w:val="es-MX"/>
        </w:rPr>
      </w:pPr>
      <w:r w:rsidRPr="00396B9D">
        <w:rPr>
          <w:lang w:val="es-MX"/>
        </w:rPr>
        <w:t>La reciente entrada en vigencia del Código Civil y Comercial de la Nación obliga a determinar en primer lugar, si el caso traído a estudio debe analizarse a la luz de sus normas.</w:t>
      </w:r>
    </w:p>
    <w:p w:rsidR="00FE7484" w:rsidRPr="00396B9D" w:rsidRDefault="00FE7484" w:rsidP="00396B9D">
      <w:pPr>
        <w:spacing w:line="360" w:lineRule="auto"/>
        <w:jc w:val="both"/>
        <w:rPr>
          <w:lang w:val="es-MX"/>
        </w:rPr>
      </w:pPr>
      <w:r w:rsidRPr="00396B9D">
        <w:rPr>
          <w:lang w:val="es-MX"/>
        </w:rPr>
        <w:t>En materia de prescripción, el nuevo código contiene una norma específica: el art. 2537 que dispone: “Modificación de los plazos por ley posterior. Los plazos de prescripción en curso al momento de entrada en vigencia de una nueva ley se rigen por la ley anterior.</w:t>
      </w:r>
    </w:p>
    <w:p w:rsidR="00FE7484" w:rsidRPr="00396B9D" w:rsidRDefault="00FE7484" w:rsidP="00396B9D">
      <w:pPr>
        <w:spacing w:line="360" w:lineRule="auto"/>
        <w:jc w:val="both"/>
        <w:rPr>
          <w:lang w:val="es-MX"/>
        </w:rPr>
      </w:pPr>
      <w:r w:rsidRPr="00396B9D">
        <w:rPr>
          <w:lang w:val="es-MX"/>
        </w:rPr>
        <w:t>Sin embargo, si por esa ley se requiere mayor tiempo que el que fijan las nuevas, quedan cumplidos una vez que transcurra el tiempo designado por las nuevas leyes, contado desde el día de su vigencia, excepto que el plazo fijado por la ley antigua finalice antes que el nuevo plazo contado a partir de la vigencia de la nueva ley, en cuyo caso se mantiene el de la ley anterior”.</w:t>
      </w:r>
    </w:p>
    <w:p w:rsidR="00FE7484" w:rsidRPr="00396B9D" w:rsidRDefault="00FE7484" w:rsidP="00396B9D">
      <w:pPr>
        <w:spacing w:line="360" w:lineRule="auto"/>
        <w:jc w:val="both"/>
        <w:rPr>
          <w:lang w:val="es-MX"/>
        </w:rPr>
      </w:pPr>
      <w:r w:rsidRPr="00396B9D">
        <w:rPr>
          <w:lang w:val="es-MX"/>
        </w:rPr>
        <w:t>En la especie no existe ningún plazo de prescripción en curso posible a la fecha de entrada en vigencia del nuevo Código que justifique su aplicación, aún tomando la fecha más cercana en el tiempo como fecha de inicio del cómputo (22-09-00). Por consiguiente, la cuestión traída a estudio de este tribunal deberá analizarse conforme la normativa vigente anterior al 01-08-2015 (sobre el tema, ver KEMELMAJER DE CARLUCCI, Aída, La aplicación del Código Civil y Comercial a las relaciones y situaciones jurídicas existentes; Rubinzal Culzoni, Santa Fe, 2015, p.67 y sgtes.).</w:t>
      </w:r>
    </w:p>
    <w:p w:rsidR="00FE7484" w:rsidRPr="00396B9D" w:rsidRDefault="00FE7484" w:rsidP="00396B9D">
      <w:pPr>
        <w:spacing w:line="360" w:lineRule="auto"/>
        <w:jc w:val="both"/>
        <w:rPr>
          <w:lang w:val="es-MX"/>
        </w:rPr>
      </w:pPr>
      <w:r w:rsidRPr="00396B9D">
        <w:rPr>
          <w:lang w:val="es-MX"/>
        </w:rPr>
        <w:lastRenderedPageBreak/>
        <w:t>IV- SOLUCIÓN AL CASO:</w:t>
      </w:r>
    </w:p>
    <w:p w:rsidR="00FE7484" w:rsidRPr="00396B9D" w:rsidRDefault="00FE7484" w:rsidP="00396B9D">
      <w:pPr>
        <w:spacing w:line="360" w:lineRule="auto"/>
        <w:jc w:val="both"/>
        <w:rPr>
          <w:lang w:val="es-MX"/>
        </w:rPr>
      </w:pPr>
      <w:r w:rsidRPr="00396B9D">
        <w:rPr>
          <w:lang w:val="es-MX"/>
        </w:rPr>
        <w:t>a)Reglas que imperan en materia de recursos extraordinarios locales:</w:t>
      </w:r>
    </w:p>
    <w:p w:rsidR="00FE7484" w:rsidRPr="00396B9D" w:rsidRDefault="00FE7484" w:rsidP="00396B9D">
      <w:pPr>
        <w:spacing w:line="360" w:lineRule="auto"/>
        <w:jc w:val="both"/>
        <w:rPr>
          <w:lang w:val="es-MX"/>
        </w:rPr>
      </w:pPr>
      <w:r w:rsidRPr="00396B9D">
        <w:rPr>
          <w:lang w:val="es-MX"/>
        </w:rPr>
        <w:t>“Tiene dicho esta Sala que se configura el vicio de arbitrariedad por in-congruencia, cuando el órgano judicial se pronuncia sobre temas no sometidos a su decisión, fallando "ultra petita" o "extra petita", o cuando deja de pronunciarse sobre una cuestión esencial, que de haber sido valorada hubiese motivado una solución distinta de la que adoptó (Criterio expuesto en L.S. 233–318; L.S. 262-158). La Corte Suprema de Justicia de la Nación ha sostenido que el principio de congruencia es una derivación del derecho de defensa en juicio (CSJN, Navarro Rolando Luis 9/8/01, Fariña Duarte Santiago 6/07/04)” (Autos n °111073 - GENCO S.A EN J° 151.154 Fecha: 30/06/2014 – SENTENCIA; Tribunal: SUPREMA CORTE - SALA N° 1; Magistrado/s: PALERMO-PEREZ HUALDE -NANCLARES). “Existe incongruencia cuando la sentencia resuelve asuntos no planteados o se pronuncia sobre cuestiones no debatidas, lo cual implica arbitrariedad por haberse sobrepasado los márgenes razonables de la función judicial. La regla general de esta causa de arbitrariedad es escoger un criterio ajeno a lo debatido por las partes, extralimitando las posibilidades jurisdiccionales, de tal forma que el Juez se expide sobre temas no sometidos a su decisión” (LS 423-015; 233-318; 262-158).</w:t>
      </w:r>
    </w:p>
    <w:p w:rsidR="00FE7484" w:rsidRPr="00396B9D" w:rsidRDefault="00FE7484" w:rsidP="00396B9D">
      <w:pPr>
        <w:spacing w:line="360" w:lineRule="auto"/>
        <w:jc w:val="both"/>
        <w:rPr>
          <w:lang w:val="es-MX"/>
        </w:rPr>
      </w:pPr>
      <w:r w:rsidRPr="00396B9D">
        <w:rPr>
          <w:lang w:val="es-MX"/>
        </w:rPr>
        <w:t>Asimismo, esta Sala resuelve constantemente que en el procedimiento mendocino la procedencia formal del recurso de casación implica dejar incólumes los hechos definitivamente resueltos por los tribunales de grado. En efecto, esta vía permite canalizar dos tipos de errores: los de interpretación de las normas, y los de subsunción de los hechos en las normas; en cualquiera de las dos situaciones, la interpretación y valoración final de los hechos y de la prueba es privativa de los jueces de grado (Ver, entre muchos, LS 324-63).</w:t>
      </w:r>
    </w:p>
    <w:p w:rsidR="00FE7484" w:rsidRPr="00396B9D" w:rsidRDefault="00FE7484" w:rsidP="00396B9D">
      <w:pPr>
        <w:spacing w:line="360" w:lineRule="auto"/>
        <w:jc w:val="both"/>
        <w:rPr>
          <w:lang w:val="es-MX"/>
        </w:rPr>
      </w:pPr>
      <w:r w:rsidRPr="00396B9D">
        <w:rPr>
          <w:lang w:val="es-MX"/>
        </w:rPr>
        <w:t>b) La cuestión a resolver:</w:t>
      </w:r>
    </w:p>
    <w:p w:rsidR="00FE7484" w:rsidRPr="00396B9D" w:rsidRDefault="00FE7484" w:rsidP="00396B9D">
      <w:pPr>
        <w:spacing w:line="360" w:lineRule="auto"/>
        <w:jc w:val="both"/>
        <w:rPr>
          <w:lang w:val="es-MX"/>
        </w:rPr>
      </w:pPr>
      <w:r w:rsidRPr="00396B9D">
        <w:rPr>
          <w:lang w:val="es-MX"/>
        </w:rPr>
        <w:t>A la luz de los parámetros apuntados, esta Sala debe resolver si ha sido incongruente o normativamente incorrecta, la decisión que: a) declaró prescripta la acción, modificando el diez a quo considerado por el juez de primera instancia; b) entendió no aplicable al caso lo dispuesto por el art. 505 C.C. modif. por Ley 24.432.</w:t>
      </w:r>
    </w:p>
    <w:p w:rsidR="00FE7484" w:rsidRPr="00396B9D" w:rsidRDefault="00FE7484" w:rsidP="00396B9D">
      <w:pPr>
        <w:spacing w:line="360" w:lineRule="auto"/>
        <w:jc w:val="both"/>
        <w:rPr>
          <w:lang w:val="es-MX"/>
        </w:rPr>
      </w:pPr>
      <w:r w:rsidRPr="00396B9D">
        <w:rPr>
          <w:lang w:val="es-MX"/>
        </w:rPr>
        <w:t>Se advierte, pues, que las cuestiones fácticas y normativas involucradas en la especie se encuentran estrechamente relacionadas, razón por la cual, para un mejor análisis y dilucidación del tema traído a decisión, trataré ambos recursos –inconstitucionalidad y casación- de manera conjunta.</w:t>
      </w:r>
    </w:p>
    <w:p w:rsidR="00FE7484" w:rsidRPr="00396B9D" w:rsidRDefault="00FE7484" w:rsidP="00396B9D">
      <w:pPr>
        <w:spacing w:line="360" w:lineRule="auto"/>
        <w:jc w:val="both"/>
        <w:rPr>
          <w:lang w:val="es-MX"/>
        </w:rPr>
      </w:pPr>
      <w:r w:rsidRPr="00396B9D">
        <w:rPr>
          <w:lang w:val="es-MX"/>
        </w:rPr>
        <w:t>a) Los hechos debatidos en la causa:</w:t>
      </w:r>
    </w:p>
    <w:p w:rsidR="00FE7484" w:rsidRPr="00396B9D" w:rsidRDefault="00FE7484" w:rsidP="00396B9D">
      <w:pPr>
        <w:spacing w:line="360" w:lineRule="auto"/>
        <w:jc w:val="both"/>
        <w:rPr>
          <w:lang w:val="es-MX"/>
        </w:rPr>
      </w:pPr>
      <w:r w:rsidRPr="00396B9D">
        <w:rPr>
          <w:lang w:val="es-MX"/>
        </w:rPr>
        <w:t>La actora ante esta sede, manifiesta que al apelar se agravió exclusivamente del error material cometido por el tribunal de primera instancia al considerar la fecha de interposición de la demanda; y el tribunal de alzada oficiosamente, abordó un tema no propuesto ni discutido por las partes: el momento inicial desde el cual debía computarse el plazo de prescripción. De este modo, afirma que se extralimitó en su decisión en sentido adverso a sus intereses y de manera sorpresiva, pues al modificarlo, declaró prescripta la acción, cuando debió fallar rechazando la defensa interpuesta.</w:t>
      </w:r>
    </w:p>
    <w:p w:rsidR="00FE7484" w:rsidRPr="00396B9D" w:rsidRDefault="00FE7484" w:rsidP="00396B9D">
      <w:pPr>
        <w:spacing w:line="360" w:lineRule="auto"/>
        <w:jc w:val="both"/>
        <w:rPr>
          <w:lang w:val="es-MX"/>
        </w:rPr>
      </w:pPr>
      <w:r w:rsidRPr="00396B9D">
        <w:rPr>
          <w:lang w:val="es-MX"/>
        </w:rPr>
        <w:t>Adelanto que en este punto, conforme constancias objetivas de la causa, los agravios de la actora carecen de andamiaje fáctico y jurídico.</w:t>
      </w:r>
    </w:p>
    <w:p w:rsidR="00FE7484" w:rsidRPr="00396B9D" w:rsidRDefault="00FE7484" w:rsidP="00396B9D">
      <w:pPr>
        <w:spacing w:line="360" w:lineRule="auto"/>
        <w:jc w:val="both"/>
        <w:rPr>
          <w:lang w:val="es-MX"/>
        </w:rPr>
      </w:pPr>
      <w:r w:rsidRPr="00396B9D">
        <w:rPr>
          <w:lang w:val="es-MX"/>
        </w:rPr>
        <w:t>Surge de la compulsa de las actuaciones que la actora modificó su exordio en tres sucesivas ampliaciones de demanda, concretando a fs. 451 su objeto: desestimar la personalidad societaria de Cavilit, determinando la realidad patrimonial de los socios y terceras personas que, a través de su accionar conjunto y la utilización de distintos tipos societarios –también demandados-, habían provocado el vaciamiento societario de Cavilit S.R.L, de conformidad con lo dispuesto por los arts. 54, 59, 270 y 274 de la L., reclamando por ello los daños y perjuicios ocasionados.</w:t>
      </w:r>
    </w:p>
    <w:p w:rsidR="00FE7484" w:rsidRPr="00396B9D" w:rsidRDefault="00FE7484" w:rsidP="00396B9D">
      <w:pPr>
        <w:spacing w:line="360" w:lineRule="auto"/>
        <w:jc w:val="both"/>
        <w:rPr>
          <w:lang w:val="es-MX"/>
        </w:rPr>
      </w:pPr>
      <w:r w:rsidRPr="00396B9D">
        <w:rPr>
          <w:lang w:val="es-MX"/>
        </w:rPr>
        <w:t xml:space="preserve">Quienes opusieron la defensa de prescripción al contestar demanda, invocaron el plazo bienal contemplado en el art. 4037 C.C entendiendo que la acción intentada era la acción individual de un socio por los daños que supuestamente se le han ocasionado por la actuación de los administradores o cómplices, de base extracontractual.; y que aún si correspondiere aplicar el plazo de 3 años previsto por el art. 848 inc. 1° del C.COM. igualmente estaría prescripta, pues el plazo corría desde que se cometió el acto en violación de la ley, el estatuto o el reglamento, o desde que se produjeron los daños por dolo, abuso de facultades o culpa grave, y </w:t>
      </w:r>
      <w:r w:rsidRPr="00396B9D">
        <w:rPr>
          <w:lang w:val="es-MX"/>
        </w:rPr>
        <w:lastRenderedPageBreak/>
        <w:t>que tuvieron lugar en el año 1993 (distribución de utilidades), 1995 (transferencia de marca Cuyolit), 1997 (confusión empresaria).</w:t>
      </w:r>
    </w:p>
    <w:p w:rsidR="00FE7484" w:rsidRPr="00396B9D" w:rsidRDefault="00FE7484" w:rsidP="00396B9D">
      <w:pPr>
        <w:spacing w:line="360" w:lineRule="auto"/>
        <w:jc w:val="both"/>
        <w:rPr>
          <w:lang w:val="es-MX"/>
        </w:rPr>
      </w:pPr>
      <w:r w:rsidRPr="00396B9D">
        <w:rPr>
          <w:lang w:val="es-MX"/>
        </w:rPr>
        <w:t>Al contestar la defensa de prescripción, la quejosa expresó que su acción no tenía previsto un plazo de prescripción específico, correspondiendo por tanto el plazo residual de diez años contemplado en el art. 846 C.COM., cuyo cómputo debía efectuarse a partir de la apertura en concurso preventivo de Cavilit S.R.L. (22-09-00).</w:t>
      </w:r>
    </w:p>
    <w:p w:rsidR="00FE7484" w:rsidRPr="00396B9D" w:rsidRDefault="00FE7484" w:rsidP="00396B9D">
      <w:pPr>
        <w:spacing w:line="360" w:lineRule="auto"/>
        <w:jc w:val="both"/>
        <w:rPr>
          <w:lang w:val="es-MX"/>
        </w:rPr>
      </w:pPr>
      <w:r w:rsidRPr="00396B9D">
        <w:rPr>
          <w:lang w:val="es-MX"/>
        </w:rPr>
        <w:t>El juez de primera instancia entendió que su legitimación activa era extraña al emplazamiento de socio regido por la ley comercial, y aplicó el plazo previsto por el art. 4037 C.C., considerando que el cómputo debía iniciarse desde que la actora tomó conocimiento efectivo de los daños, sin que fuera obstáculo que los mismos tuvieran un proceso de duración prolongada o indefinida. Concluyó que aunque se adoptara la posición más favorable a la demandante (22-09-00), su acción estaba igualmente prescripta, tomando equivocadamente la fecha de interposición de demanda por la fecha en que se radicó el expediente en su juzgado por fuero de atracción del sucesorio del Sr. Amelio (13-10-04).</w:t>
      </w:r>
    </w:p>
    <w:p w:rsidR="00FE7484" w:rsidRPr="00396B9D" w:rsidRDefault="00FE7484" w:rsidP="00396B9D">
      <w:pPr>
        <w:spacing w:line="360" w:lineRule="auto"/>
        <w:jc w:val="both"/>
        <w:rPr>
          <w:lang w:val="es-MX"/>
        </w:rPr>
      </w:pPr>
      <w:r w:rsidRPr="00396B9D">
        <w:rPr>
          <w:lang w:val="es-MX"/>
        </w:rPr>
        <w:t>La recurrente apeló con el objeto de subsanar el evidente error material cometido en primera instancia, ya que la demanda se interpuso el 08-05-02, pero solicitó se tuviera presente las cuestiones debidamente fijadas por el a-quo, entre ellas, que el daño se concretó con la apertura en concurso de Cavilit, fecha que debía tomarse como momento de inicio del cómputo del plazo y, en consecuencia, la fecha de prescripción de la acción era el 22-09-02.</w:t>
      </w:r>
    </w:p>
    <w:p w:rsidR="00FE7484" w:rsidRPr="00396B9D" w:rsidRDefault="00FE7484" w:rsidP="00396B9D">
      <w:pPr>
        <w:spacing w:line="360" w:lineRule="auto"/>
        <w:jc w:val="both"/>
        <w:rPr>
          <w:lang w:val="es-MX"/>
        </w:rPr>
      </w:pPr>
      <w:r w:rsidRPr="00396B9D">
        <w:rPr>
          <w:lang w:val="es-MX"/>
        </w:rPr>
        <w:t>Al contestar agravios, los demandados adujeron que la actora al apelar consintió expresamente el plazo bienal aplicado por el juez de primera instancia invocado al plantearse la prescripción, de manera que ello constituía una cuestión definitivamente establecida. No obstante, se agraviaron de la fecha de inicio tomada por el juzgador, porque –tal como sostuvieron al contestar demanda- el plazo se inició con el conocimiento de los hechos producido en los años ’93, ’95 y ’97, razón por la cual debía revocarse en este aspecto el fallo declarando prescripta la acción.</w:t>
      </w:r>
    </w:p>
    <w:p w:rsidR="00FE7484" w:rsidRPr="00396B9D" w:rsidRDefault="00FE7484" w:rsidP="00396B9D">
      <w:pPr>
        <w:spacing w:line="360" w:lineRule="auto"/>
        <w:jc w:val="both"/>
        <w:rPr>
          <w:lang w:val="es-MX"/>
        </w:rPr>
      </w:pPr>
      <w:r w:rsidRPr="00396B9D">
        <w:rPr>
          <w:lang w:val="es-MX"/>
        </w:rPr>
        <w:t>De la reseña efctuada, se advierte que la Cámara no resolvió “extra petita”.</w:t>
      </w:r>
    </w:p>
    <w:p w:rsidR="00FE7484" w:rsidRPr="00396B9D" w:rsidRDefault="00FE7484" w:rsidP="00396B9D">
      <w:pPr>
        <w:spacing w:line="360" w:lineRule="auto"/>
        <w:jc w:val="both"/>
        <w:rPr>
          <w:lang w:val="es-MX"/>
        </w:rPr>
      </w:pPr>
      <w:r w:rsidRPr="00396B9D">
        <w:rPr>
          <w:lang w:val="es-MX"/>
        </w:rPr>
        <w:t>Es sabido que dentro del ámbito del recurso de apelación, el tribunal tiene una doble limitación que respetar: la establecida en la primera instancia, y la que le impone el recurrente con la fundamentación del memorial de agravios (LS 353-068; 279-428). Los procesalistas se dividen, sin embargo, sobre el alcance que en función de la misma tiene el tribunal de alzada; según que pueda o no modificar el fallo del inferior en perjuicio del propio impugnante. La postura restrictiva lo admite sólo si la contraparte a su vez se alzó también contra el decisorio –prohibición de la “reformatio in peius”-. La más amplia considera que el recurso interpuesto por cualquiera de las partes se entiende en beneficio común o de ambas, y el superior puede y debe de oficio revisar la resolución en todos sus aspectos y modificarla en lo que no se ajusta a la ley, sin importar a quién beneficia la decisión (CÓDIGO PROCESAL CIVIL DE LA PROVINCIA DE MENDOZA, comentado, anotado y concordado; LA LEY, 2009, BS. As., Dir. Gianellla, Horacio, T°I, p. 998).</w:t>
      </w:r>
    </w:p>
    <w:p w:rsidR="00FE7484" w:rsidRPr="00396B9D" w:rsidRDefault="00FE7484" w:rsidP="00396B9D">
      <w:pPr>
        <w:spacing w:line="360" w:lineRule="auto"/>
        <w:jc w:val="both"/>
        <w:rPr>
          <w:lang w:val="es-MX"/>
        </w:rPr>
      </w:pPr>
      <w:r w:rsidRPr="00396B9D">
        <w:rPr>
          <w:lang w:val="es-MX"/>
        </w:rPr>
        <w:t>Siguiendo esta última corriente, la doctrina ha denominado “adhesión implícita de la apelación” al instituto mediante el cual la Cámara asume la plenitud de jurisdicción para resolver todas las defensas planteadas por el vencedor ante el a quo, al no poder éste recurrir el fallo por falta de interés jurídico en hacerlo. Mediante este mecanismo, el Tribunal revisor debe ocuparse de considerar todas las defensas incorporadas oportunamente por quien resultó ganador, como si realmente hubiera habido una “adhesión”, sin perjuicio de que éste, por falta de interés jurídico, no haya podido alzarse (Hitters, Juan Carlos, “Técnica de los recursos ordinarios”, p. 419 y ss.).</w:t>
      </w:r>
    </w:p>
    <w:p w:rsidR="00FE7484" w:rsidRPr="00396B9D" w:rsidRDefault="00FE7484" w:rsidP="00396B9D">
      <w:pPr>
        <w:spacing w:line="360" w:lineRule="auto"/>
        <w:jc w:val="both"/>
        <w:rPr>
          <w:lang w:val="es-MX"/>
        </w:rPr>
      </w:pPr>
      <w:r w:rsidRPr="00396B9D">
        <w:rPr>
          <w:lang w:val="es-MX"/>
        </w:rPr>
        <w:t xml:space="preserve">Esto es lo acontecido en el sublite, y tal fue la postura seguida por el tribunal de segunda instancia coincidente, a su vez, con la de esta Corte, que recientemente sostuvo: “Es que, si bien puede apelar solamente la parte que resulta vencida y sufre un gravamen o perjuicio como consecuencia de ello, aquellas defensas o argumentos planteados oportuna y debidamente por el vencedor en primera instancia y que fueron rechazados o no considerados por el juez -y de lo que no podía apelar por resultar vencedor en el litigio-, quedan, mediante el recurso concedido al vencido, implícitamente sometidos al conocimiento del tribunal de alzada, aún cuando tales defensas o argumentos no hayan sido reiterados por el vencedor en oportunidad de contestar la expresión de agravios (aún cuando en este último aspecto hay opiniones en contrario que exigen tal reiteración). Debe la Alzada resolver directamente </w:t>
      </w:r>
      <w:r w:rsidRPr="00396B9D">
        <w:rPr>
          <w:lang w:val="es-MX"/>
        </w:rPr>
        <w:lastRenderedPageBreak/>
        <w:t>todos los temas que integran la relación procesal, sin que con ese proceder se vulnere la defensa en juicio, ni el principio de igualdad, ni el régimen de la doble instancia (SCJBA, 28/9/76, de 76-169 citado por Loutayf Ranea, Roberto G., “El recurso ordinario de apelación en el proceso civil”, Astrea, Bs. As., 1989, T. 1, p. 78 y ss)” (autos n°13-02123350-6; DE MINICUCCI, EDUARDO EN J° 165299/34690 DE MINICUCCI, LUIS EDUARDO C/ OBRAS SANITARIAS MENDOZA S.A. Y OTS. P/ D. Y P. P/ REC.EXT.DE INCONSTIT-CASACIÓN; Sala 1, S.C.J.M.; 15-06-15). Cabe recordar que “El límite infranqueable de la potestad judicial de reconducción lo constituyen los presupuestos de hecho esenciales emergentes de la traba de la litis. Es una aplicación antifuncional del principio iura curia novit aquella que, bajo apariencia de reconducción, encerrara el cambio oficioso de una articulación por otra distinta, como acontecería de juzgarse interpuesto un recurso o formulada determinada petición que exige términos expresos (v. gr. un allanamiento), sin que haya mediado realmente el acto de parte que permita tenerlo por configurado uno u otra" (López Mesa, Marcelo J; “El juez en el proceso. Deberes y máximas de experiencia”; Publicado en: LA LEY 12/06/2012 , 1 • LA LEY 2012-C , 1269 ).</w:t>
      </w:r>
    </w:p>
    <w:p w:rsidR="00FE7484" w:rsidRPr="00396B9D" w:rsidRDefault="00FE7484" w:rsidP="00396B9D">
      <w:pPr>
        <w:spacing w:line="360" w:lineRule="auto"/>
        <w:jc w:val="both"/>
        <w:rPr>
          <w:lang w:val="es-MX"/>
        </w:rPr>
      </w:pPr>
      <w:r w:rsidRPr="00396B9D">
        <w:rPr>
          <w:lang w:val="es-MX"/>
        </w:rPr>
        <w:t>Dentro del marco procesal analizado, el decisorio abordó las cuestiones tratadas de acuerdo a las constancias objetivas de la causa, los planteos efectuados en la instancia apelativa y en la de grado, y dentro de sus facultades revisoras. No advierto en el ocurrente incongruencia que haya provocado violación al derecho de defensa o de igualdad procesal.</w:t>
      </w:r>
    </w:p>
    <w:p w:rsidR="00FE7484" w:rsidRPr="00396B9D" w:rsidRDefault="00FE7484" w:rsidP="00396B9D">
      <w:pPr>
        <w:spacing w:line="360" w:lineRule="auto"/>
        <w:jc w:val="both"/>
        <w:rPr>
          <w:lang w:val="es-MX"/>
        </w:rPr>
      </w:pPr>
      <w:r w:rsidRPr="00396B9D">
        <w:rPr>
          <w:lang w:val="es-MX"/>
        </w:rPr>
        <w:t>A mayor abundamiento, si bien la actora critica que así como trató el tema del inicio del cómputo del plazo de prescripción, la Cámara también debió analizar la normativa aplicable por ser materia cuestionada por su parte en la primera instancia, no rebate el argumento por el cual el tribunal expresamente manifestó no hacerlo: su propia conducta convalidatoria de la norma aplicada por el sentenciante de grado.</w:t>
      </w:r>
    </w:p>
    <w:p w:rsidR="00FE7484" w:rsidRPr="00396B9D" w:rsidRDefault="00FE7484" w:rsidP="00396B9D">
      <w:pPr>
        <w:spacing w:line="360" w:lineRule="auto"/>
        <w:jc w:val="both"/>
        <w:rPr>
          <w:lang w:val="es-MX"/>
        </w:rPr>
      </w:pPr>
      <w:r w:rsidRPr="00396B9D">
        <w:rPr>
          <w:lang w:val="es-MX"/>
        </w:rPr>
        <w:t>Tal como ya reseñé, la accionante apeló con el único objeto de modificar la fecha de interposición de la demanda reconociendo como una cuestión definitivamente fijadas por el a-quo, que el plazo de prescripción fenecía a los dos años desde la fecha de apertura del concurso de Cavilit. Tal conducta no puede ahora desconocerla, volviendo sobre sus pasos pretendiendo su revisión.</w:t>
      </w:r>
    </w:p>
    <w:p w:rsidR="00FE7484" w:rsidRPr="00396B9D" w:rsidRDefault="00FE7484" w:rsidP="00396B9D">
      <w:pPr>
        <w:spacing w:line="360" w:lineRule="auto"/>
        <w:jc w:val="both"/>
        <w:rPr>
          <w:lang w:val="es-MX"/>
        </w:rPr>
      </w:pPr>
      <w:r w:rsidRPr="00396B9D">
        <w:rPr>
          <w:lang w:val="es-MX"/>
        </w:rPr>
        <w:t>El principio de eventualidad procesal le imponía la carga de rebatir cada uno de los argumentos del fallo apelado. El reconocimiento expreso de la norma aplicada por el inferior, como bien señaló la alzada en el fallo en crisis, selló definitivamente la cuestión en este aspecto, pues precisamente sobre ello en la segunda instancia no se produjo debate que le permitiese a la Cámara reabrir el análisis de la cuestión, ya que la norma que aplicó el juez de primera instancia fue la invocada por los demandados al oponer la prescripción.</w:t>
      </w:r>
    </w:p>
    <w:p w:rsidR="00FE7484" w:rsidRPr="00396B9D" w:rsidRDefault="00FE7484" w:rsidP="00396B9D">
      <w:pPr>
        <w:spacing w:line="360" w:lineRule="auto"/>
        <w:jc w:val="both"/>
        <w:rPr>
          <w:lang w:val="es-MX"/>
        </w:rPr>
      </w:pPr>
      <w:r w:rsidRPr="00396B9D">
        <w:rPr>
          <w:lang w:val="es-MX"/>
        </w:rPr>
        <w:t>Sin perjuicio de lo expuesto, no puedo dejar de destacar que la actitud de la accionante al demandar fue vacilante e imprecisa (me remito a la relación de los hechos de la causa en mérito a la brevedad), lo que sin duda, motivó al juez de primera instancia a considerar que la actora había reclamado por su propio derecho, calificando su acción como extracontractual derivada del accionar ilícito de todos los demandados. Esta calificación, como también la norma del art. 4037 C.C. para dilucidar si estaba o no prescripta la acción, no fueron rebatidas por la demandante al apelar.</w:t>
      </w:r>
    </w:p>
    <w:p w:rsidR="00FE7484" w:rsidRPr="00396B9D" w:rsidRDefault="00FE7484" w:rsidP="00396B9D">
      <w:pPr>
        <w:spacing w:line="360" w:lineRule="auto"/>
        <w:jc w:val="both"/>
        <w:rPr>
          <w:lang w:val="es-MX"/>
        </w:rPr>
      </w:pPr>
      <w:r w:rsidRPr="00396B9D">
        <w:rPr>
          <w:lang w:val="es-MX"/>
        </w:rPr>
        <w:t>Dentro de la instancia extraordinaria, el art. 153 del C.P.C. exige como presupuesto formal para la admisión de la vía, que el recurrente no haya consentido un pronunciamiento contrario a la garantía invocada como fundamento de la queja. (LA.150-162, entre otros), de manera que ante esta sede tal argumento no es atendible, más allá de que los fundamentos de la Cámara sobre este aspecto fueron razonables y normativamente correctos.</w:t>
      </w:r>
    </w:p>
    <w:p w:rsidR="00FE7484" w:rsidRPr="00396B9D" w:rsidRDefault="00FE7484" w:rsidP="00396B9D">
      <w:pPr>
        <w:spacing w:line="360" w:lineRule="auto"/>
        <w:jc w:val="both"/>
        <w:rPr>
          <w:lang w:val="es-MX"/>
        </w:rPr>
      </w:pPr>
      <w:r w:rsidRPr="00396B9D">
        <w:rPr>
          <w:lang w:val="es-MX"/>
        </w:rPr>
        <w:t>La conclusión a la que arribo se extiende en cuanto a la fecha de determinación del cómputo del plazo, tema que –como ya analicé- correspondía a la Cámara abordar.</w:t>
      </w:r>
    </w:p>
    <w:p w:rsidR="00FE7484" w:rsidRPr="00396B9D" w:rsidRDefault="00FE7484" w:rsidP="00396B9D">
      <w:pPr>
        <w:spacing w:line="360" w:lineRule="auto"/>
        <w:jc w:val="both"/>
        <w:rPr>
          <w:lang w:val="es-MX"/>
        </w:rPr>
      </w:pPr>
      <w:r w:rsidRPr="00396B9D">
        <w:rPr>
          <w:lang w:val="es-MX"/>
        </w:rPr>
        <w:t>En el fallo en crisis se entendió que la acción quedó expedita y nació en beneficio de la actora el 16-09-97, fecha en que la Sra. Rinaldi advirtió la confusión empresaria en el domicilio de Cuyolit, y que la presentación en concurso de Cavilit podía importar la culminación de una serie de circunstancias a las que alude la actora, pero de ningún modo permitían concluir que es desde entonces que la actora tuvo expedita su acción, pues los hechos dañosos se iniciaron en el año ’93 y de ellos tomó conocimiento en el año ’97.</w:t>
      </w:r>
    </w:p>
    <w:p w:rsidR="00FE7484" w:rsidRPr="00396B9D" w:rsidRDefault="00FE7484" w:rsidP="00396B9D">
      <w:pPr>
        <w:spacing w:line="360" w:lineRule="auto"/>
        <w:jc w:val="both"/>
        <w:rPr>
          <w:lang w:val="es-MX"/>
        </w:rPr>
      </w:pPr>
      <w:r w:rsidRPr="00396B9D">
        <w:rPr>
          <w:lang w:val="es-MX"/>
        </w:rPr>
        <w:lastRenderedPageBreak/>
        <w:t>Sobre el momento a partir del cual debe iniciarse el cómputo de la prescripción, nuestro Tribunal Cimero ha dicho que “el punto de arranque del curso de la prescripción debe ubicarse a partir del momento en que la responsabilidad existe y ha nacido la consiguiente acción para hacerla valer (artículo 3958 del Código Civil). Ello acontece, como regla general, cuando sucede el hecho ilícito que origina la responsabilidad; pero excepcionalmente, puede determinarse un momento diferente, ya sea porque el daño aparece después o bien porque no puede ser apropiadamente apreciado hasta el cese de una conducta ilícita continuada” (Fallos CSJN: 311:1478 y 2236; 312:1063 y 322:1888).</w:t>
      </w:r>
    </w:p>
    <w:p w:rsidR="00FE7484" w:rsidRPr="00396B9D" w:rsidRDefault="00FE7484" w:rsidP="00396B9D">
      <w:pPr>
        <w:spacing w:line="360" w:lineRule="auto"/>
        <w:jc w:val="both"/>
        <w:rPr>
          <w:lang w:val="es-MX"/>
        </w:rPr>
      </w:pPr>
      <w:r w:rsidRPr="00396B9D">
        <w:rPr>
          <w:lang w:val="es-MX"/>
        </w:rPr>
        <w:t>En seguimiento de tal razonamiento, esta Sala ha resuelto que “El principio, de apariencia clara y no problemática, es que la prescripción de la acción de daños comienza a partir de la medianoche del mismo día del hecho generador porque lo que acostumbra suceder es que se originan en un mismo momento. Pero cuando el hecho ilícito produce sus efectos dañosos en un momento posterior, el plazo inicial se fija en el momento del acaecimiento, aparición o concreción del daño, y en algunos supuestos de excepción incluso en un momento posterior a su producción como puede ser el momento de conocimiento del daño o de su causa, o cuando existan comportamientos del dañador que constituyan nuevas etapas del daño. El conocimiento que se requiere no es una noticia rigurosa sino una razonable posibilidad de información, pero se ha considerado que una simple molestia no es suficiente para que comience a correr la prescripción. La doctrina nacional es pacífica en hacer arrancar excepcionalmente la prescripción desde la fecha del conocimiento del daño salvo que el desconocimiento provenga de una negligencia culpable, porque es recién desde ese momento que el dañado puede actuar. Incluso la jurisprudencia ha tomado en cuenta el caso de que la víctima conozca su daño, pero no la causa. En ese caso la prescripción comienza desde que se tiene o pudo tenerse conocimiento de la causa porque recién en ese momento se pudo actuar. (...) Nuestra opinión coincide (...) con la de la mayoría de la doctrina nacional: la prescripción de la acción de daños comienza a correr desde que el damnificado conoce el daño, salvo que el desconocimiento proviniere de una negligencia culpable. No puede ser de otra manera, porque quien no conoce ni ha podido conocer por ningún medio razonable a su alcance que ha sido dañado no puede actuar. Es el fundamento mismo de la prescripción el que justifica que sea así” (“Tratado de la prescripción liberatoria”, Tomo I, Ed. Lexis Nexis, Buenos Aires, 2007. Pág. 141/142) ( autos n° 110.221 - VILLARRUEL, ESTELA MARIS EN J° 51502 / 44776 VILLARRUEL ESTELA MARIS C/ GOBIERNO DE LA PROVINCIA DE MENDOZA Y MUNICIPALIDAD DE GRAL. SAN MARTIN P/ D. Y P. S/ APELACION P/ REC.EXT.DE INSCONSTIT CASACION; Fecha: 31/10/2014 - SENTENCIA; Tribunal: SUPREMA CORTE - SALA N° 1).</w:t>
      </w:r>
    </w:p>
    <w:p w:rsidR="00FE7484" w:rsidRPr="00396B9D" w:rsidRDefault="00FE7484" w:rsidP="00396B9D">
      <w:pPr>
        <w:spacing w:line="360" w:lineRule="auto"/>
        <w:jc w:val="both"/>
        <w:rPr>
          <w:lang w:val="es-MX"/>
        </w:rPr>
      </w:pPr>
      <w:r w:rsidRPr="00396B9D">
        <w:rPr>
          <w:lang w:val="es-MX"/>
        </w:rPr>
        <w:t>En esta línea de pensamiento, la Cámara entendió, de acuerdo a los hechos expuestos por la demandante, que la misma tuvo razonable conocimiento del daño cuya reparación pretendía cuando advirtió la confusión societaria que existía entre Cavilit y Cuyolit y de la cual incluso quiso dejar constancia a través de actuación notarial. Teniendo presente que la actora reclamó los daños derivados del vaciamiento societario y competencia desleal producido por el accionar conjunto de todos los demandados de la sociedad creada por su padre -Cavilit S.R.L.-, y que reconoció expresamente que tal proceso se inició en el año ’93 cuando se efectuó la primera distribución de utilidades luego de fallecido su padre, la conclusión del ad-quem aparece razonable. En el sublite los daños reclamados tenían un largo proceso de duración, y ello dificultaba la determinación del momento a partir del cual la actora estaba habilitada para accionar. Sin embargo, considerando que “El punto de partida de dicho plazo debe computarse a partir del momento en que la demandante tomó conocimiento de los daños que reclama, sin que obste para ello la circunstancia de que los perjuicios pudieren presentar un proceso de duración prolongada o indefinida, pues el curso del plazo de la prescripción comienza cuando sea cierto y susceptible de apreciación el daño futuro (Fallos: 317:1437 y sus citas, entre otros; CSJN S. 712. XXXVI. R.O. Suraltex S.R.L. (en liquidación) y otro c/ Estado Nacional - AFIP - ANA - s/ determinación y cobro de daños y perjuicios), la sentencia bajo análisis aparece razonable y conteste con la jurisprudencia relacionada, por lo que debe también en este punto, confirmarse, ya que deviene por lo expuesto en abstracto la queja casatoria.</w:t>
      </w:r>
    </w:p>
    <w:p w:rsidR="00FE7484" w:rsidRPr="00396B9D" w:rsidRDefault="00FE7484" w:rsidP="00396B9D">
      <w:pPr>
        <w:spacing w:line="360" w:lineRule="auto"/>
        <w:jc w:val="both"/>
        <w:rPr>
          <w:lang w:val="es-MX"/>
        </w:rPr>
      </w:pPr>
      <w:r w:rsidRPr="00396B9D">
        <w:rPr>
          <w:lang w:val="es-MX"/>
        </w:rPr>
        <w:t>b) La regulación de honorarios y el art. 505 C.C. modificado por Ley 24.432:</w:t>
      </w:r>
    </w:p>
    <w:p w:rsidR="00FE7484" w:rsidRPr="00396B9D" w:rsidRDefault="00FE7484" w:rsidP="00396B9D">
      <w:pPr>
        <w:spacing w:line="360" w:lineRule="auto"/>
        <w:jc w:val="both"/>
        <w:rPr>
          <w:lang w:val="es-MX"/>
        </w:rPr>
      </w:pPr>
      <w:r w:rsidRPr="00396B9D">
        <w:rPr>
          <w:lang w:val="es-MX"/>
        </w:rPr>
        <w:t>Con relación a los agravios vertidos en el ámbito del recurso de casación en este tópico, anticipo que no revisten la entidad necesaria para habilitar la instancia extraordinaria, ya que la quejosa se limita a sostener que corresponde su aplicación, y que la decisión de la Cámara no es conteste con la jurisprudencia de este Tribunal.</w:t>
      </w:r>
    </w:p>
    <w:p w:rsidR="00FE7484" w:rsidRPr="00396B9D" w:rsidRDefault="00FE7484" w:rsidP="00396B9D">
      <w:pPr>
        <w:spacing w:line="360" w:lineRule="auto"/>
        <w:jc w:val="both"/>
        <w:rPr>
          <w:lang w:val="es-MX"/>
        </w:rPr>
      </w:pPr>
      <w:r w:rsidRPr="00396B9D">
        <w:rPr>
          <w:lang w:val="es-MX"/>
        </w:rPr>
        <w:lastRenderedPageBreak/>
        <w:t>Como reiteradamente resuelve esta Corte, “El art. 161 inc. 3 del Código Procesal Civil, manda que el recurso de casación debe ser fundado estableciéndose clara y concretamente cuál es la norma que correspondía o no aplicar, y en su caso, en qué consiste la errónea interpretación legal invocada, y cuál es la que se propone como correcta. El desarrollo argumental de la queja debe implicar una crítica razonada de la sentencia en relación a la errónea exégesis que se invoca como fundamento del recurso. Constituyendo tal exigencia un recaudo de procedibilidad de cumplimiento insoslayable, su omisión obsta a la procedencia de la vía, atento a su naturaleza excepcional, debiendo destacarse que la sola mención de las normas implicadas no constituye fundamentación adecuada. La sola afirmación de una tesis jurídica no basta para configurar un agravio reparable por casación, desde que es absolutamente necesaria la demostración del error de interpretación atribuido, a fin de que los argumentos de la queja alcancen la entidad requerida (Expte.: 93163 - CIRILLO HECTOR CARLOS EN J 149.148/30.906 BANCO PATAGONIA SUD AMERIS S.A. C/ CIRILLO HECTOR P/ COBRO DE PESOS S/ INC. CAS.Fecha: 22/04/2009 – SENTENCIA Tribunal: SUPREMA CORTE - SALA N° 1 Magistrado/s: PEREZ HUALDE-KEMELMAJER-ROMANO Ubicación: LS 400-167; LS393-163 entre otros).</w:t>
      </w:r>
    </w:p>
    <w:p w:rsidR="00FE7484" w:rsidRPr="00396B9D" w:rsidRDefault="00FE7484" w:rsidP="00396B9D">
      <w:pPr>
        <w:spacing w:line="360" w:lineRule="auto"/>
        <w:jc w:val="both"/>
        <w:rPr>
          <w:lang w:val="es-MX"/>
        </w:rPr>
      </w:pPr>
      <w:r w:rsidRPr="00396B9D">
        <w:rPr>
          <w:lang w:val="es-MX"/>
        </w:rPr>
        <w:t>Este solo argumento me habilita para el rechazo de la queja casatoria intentada en este tópico, pero más allá de su improcedencia formal, resalto que el criterio adoptado por la Cámara es coincidente con el expuesto por esta Corte. “En efecto, conforme al art. 1 de la norma de aplicación (Ley 24.432) incluye como efectos del incumplimiento de las obligaciones por parte del deudor y en beneficio de éste, una notoria limitación en su responsabilidad por el pago de las costas. Pero como lo expresa la norma, el deudor puede obtener tal beneficio "Si el incumplimiento de la obligación, cualquiera sea su fuente, derivase en litigio judicial o arbitral...". En el ocurrente no es el deudor de los daños causados quien requiere del beneficio, sino por el contrario el que requiere la aplicación de la Ley 24.432, es quien pretendiéndose acreedor por la reparación de tales daños, formaliza demanda en esta causa.” (autos n° 76.713 - “FUNES, EMMA MARíA EN J...FUNES, EMMA MARíA MARCELA A. MATEU BUSTOS ORDINARIO S/ INC. CAS.”; Fecha: 25/02/2004 – SENTENCIA; Tribunal: SUPREMA CORTE - SALA N° 1Magistrado/s: Romano - Moyano - Kemelmajer; Ubicación: LS334-001).Este criterio, además, es el seguido por nuestra Corte Federal (CSN 7/7/1998, “Tor-Ca SA c/Provincia de Bs. As.”, LL 1998-F-189; 7/7/1998. “Talleres Metalúrgicos Barari c/Agua y Energía Soc. del Estado”, LL 1998-F-190).</w:t>
      </w:r>
    </w:p>
    <w:p w:rsidR="00FE7484" w:rsidRPr="00396B9D" w:rsidRDefault="00FE7484" w:rsidP="00396B9D">
      <w:pPr>
        <w:spacing w:line="360" w:lineRule="auto"/>
        <w:jc w:val="both"/>
        <w:rPr>
          <w:lang w:val="es-MX"/>
        </w:rPr>
      </w:pPr>
      <w:r w:rsidRPr="00396B9D">
        <w:rPr>
          <w:lang w:val="es-MX"/>
        </w:rPr>
        <w:t>Cabe aclarar que el precedente citado por la Cámara y la recurrente (autos n°101.499 “San Cristóbal…”) no es contrario a esta tesitura, aunque tenía un sustrato fáctico diferente, desde que en el mismo se había cuestionado la imposición en costas a la aseguradora codemandada por lo que se rechazaba la demanda a la accionante, y todas las partes se habían allanado a su pretensión, a lo que se añadía que devenía en abstracto cualquier otro agravio manifestado por la recurrente por cuanto los montos regulados no superaban el tope previsto por la normativa implicada.</w:t>
      </w:r>
    </w:p>
    <w:p w:rsidR="00FE7484" w:rsidRPr="00396B9D" w:rsidRDefault="00FE7484" w:rsidP="00396B9D">
      <w:pPr>
        <w:spacing w:line="360" w:lineRule="auto"/>
        <w:jc w:val="both"/>
        <w:rPr>
          <w:lang w:val="es-MX"/>
        </w:rPr>
      </w:pPr>
      <w:r w:rsidRPr="00396B9D">
        <w:rPr>
          <w:lang w:val="es-MX"/>
        </w:rPr>
        <w:t>V. CONCLUSIÓN:</w:t>
      </w:r>
    </w:p>
    <w:p w:rsidR="00FE7484" w:rsidRPr="00396B9D" w:rsidRDefault="00FE7484" w:rsidP="00396B9D">
      <w:pPr>
        <w:spacing w:line="360" w:lineRule="auto"/>
        <w:jc w:val="both"/>
        <w:rPr>
          <w:lang w:val="es-MX"/>
        </w:rPr>
      </w:pPr>
      <w:r w:rsidRPr="00396B9D">
        <w:rPr>
          <w:lang w:val="es-MX"/>
        </w:rPr>
        <w:t>Como corolario de lo expuesto, del análisis efectuado resulta que la sentencia recurrida ha sido razonable, congruente y ajustada a derecho, lo que me decide a confirmarla en todas sus partes, lo que así propongo a mis colegas de Sala.</w:t>
      </w:r>
    </w:p>
    <w:p w:rsidR="00FE7484" w:rsidRPr="00396B9D" w:rsidRDefault="00FE7484" w:rsidP="00396B9D">
      <w:pPr>
        <w:spacing w:line="360" w:lineRule="auto"/>
        <w:jc w:val="both"/>
        <w:rPr>
          <w:lang w:val="es-MX"/>
        </w:rPr>
      </w:pPr>
      <w:r w:rsidRPr="00396B9D">
        <w:rPr>
          <w:lang w:val="es-MX"/>
        </w:rPr>
        <w:t>Así voto.</w:t>
      </w:r>
    </w:p>
    <w:p w:rsidR="00FE7484" w:rsidRPr="00396B9D" w:rsidRDefault="00FE7484" w:rsidP="00396B9D">
      <w:pPr>
        <w:spacing w:line="360" w:lineRule="auto"/>
        <w:jc w:val="both"/>
        <w:rPr>
          <w:lang w:val="es-MX"/>
        </w:rPr>
      </w:pPr>
      <w:r w:rsidRPr="00396B9D">
        <w:rPr>
          <w:lang w:val="es-MX"/>
        </w:rPr>
        <w:t>Sobre la misma cuestión los Dres. NANCLARES y GÓMEZ, adhieren al voto que antecede.</w:t>
      </w:r>
    </w:p>
    <w:p w:rsidR="00FE7484" w:rsidRPr="00396B9D" w:rsidRDefault="00FE7484" w:rsidP="00396B9D">
      <w:pPr>
        <w:spacing w:line="360" w:lineRule="auto"/>
        <w:jc w:val="both"/>
        <w:rPr>
          <w:lang w:val="es-MX"/>
        </w:rPr>
      </w:pPr>
      <w:r w:rsidRPr="00396B9D">
        <w:rPr>
          <w:lang w:val="es-MX"/>
        </w:rPr>
        <w:t>A LA SEGUNDA CUESTION EL DR. ALEJANDRO PÉREZ HUALDE, DIJO:</w:t>
      </w:r>
    </w:p>
    <w:p w:rsidR="00FE7484" w:rsidRPr="00396B9D" w:rsidRDefault="00FE7484" w:rsidP="00396B9D">
      <w:pPr>
        <w:spacing w:line="360" w:lineRule="auto"/>
        <w:jc w:val="both"/>
        <w:rPr>
          <w:lang w:val="es-MX"/>
        </w:rPr>
      </w:pPr>
      <w:r w:rsidRPr="00396B9D">
        <w:rPr>
          <w:lang w:val="es-MX"/>
        </w:rPr>
        <w:t>Atento lo resuelto en la primera cuestión, corresponde rechazar los recursos de inconstitucionalidad y casación interpuestos a fs. 45/75 y, en consecuencia, confirmar la sentencia dictada a fs. 3212/3217 por la Primera Cámara de Apelaciones en lo Civil, Comercial, Minas, de Paz y Tributario de la Primera Circunscripción Judicial, en los autos N° 114.749/50.353, caratulados: “R.R. C/C. S.R.L. Y OTS. P/D. Y P.”</w:t>
      </w:r>
    </w:p>
    <w:p w:rsidR="00FE7484" w:rsidRPr="00396B9D" w:rsidRDefault="00FE7484" w:rsidP="00396B9D">
      <w:pPr>
        <w:spacing w:line="360" w:lineRule="auto"/>
        <w:jc w:val="both"/>
        <w:rPr>
          <w:lang w:val="es-MX"/>
        </w:rPr>
      </w:pPr>
      <w:r w:rsidRPr="00396B9D">
        <w:rPr>
          <w:lang w:val="es-MX"/>
        </w:rPr>
        <w:t>Así voto.</w:t>
      </w:r>
    </w:p>
    <w:p w:rsidR="00FE7484" w:rsidRPr="00396B9D" w:rsidRDefault="00FE7484" w:rsidP="00396B9D">
      <w:pPr>
        <w:spacing w:line="360" w:lineRule="auto"/>
        <w:jc w:val="both"/>
        <w:rPr>
          <w:lang w:val="es-MX"/>
        </w:rPr>
      </w:pPr>
      <w:r w:rsidRPr="00396B9D">
        <w:rPr>
          <w:lang w:val="es-MX"/>
        </w:rPr>
        <w:t>Sobre la misma cuestión los Dres. NANCLARES y GÓMEZ, adhieren al voto que antecede.</w:t>
      </w:r>
    </w:p>
    <w:p w:rsidR="00FE7484" w:rsidRPr="00396B9D" w:rsidRDefault="00FE7484" w:rsidP="00396B9D">
      <w:pPr>
        <w:spacing w:line="360" w:lineRule="auto"/>
        <w:jc w:val="both"/>
        <w:rPr>
          <w:lang w:val="es-MX"/>
        </w:rPr>
      </w:pPr>
      <w:r w:rsidRPr="00396B9D">
        <w:rPr>
          <w:lang w:val="es-MX"/>
        </w:rPr>
        <w:t>A LA TERCERA CUESTION EL DR. ALEJANDRO PÉREZ HUALDE, DIJO:</w:t>
      </w:r>
    </w:p>
    <w:p w:rsidR="00FE7484" w:rsidRPr="00396B9D" w:rsidRDefault="00FE7484" w:rsidP="00396B9D">
      <w:pPr>
        <w:spacing w:line="360" w:lineRule="auto"/>
        <w:jc w:val="both"/>
        <w:rPr>
          <w:lang w:val="es-MX"/>
        </w:rPr>
      </w:pPr>
      <w:r w:rsidRPr="00396B9D">
        <w:rPr>
          <w:lang w:val="es-MX"/>
        </w:rPr>
        <w:lastRenderedPageBreak/>
        <w:t>Atento lo resuelto en las cuestiones anteriores, corresponde imponer las costas a la recurrente que resulta vencida (arts. 36 y 148 C.P.C.).</w:t>
      </w:r>
    </w:p>
    <w:p w:rsidR="00FE7484" w:rsidRPr="00396B9D" w:rsidRDefault="00FE7484" w:rsidP="00396B9D">
      <w:pPr>
        <w:spacing w:line="360" w:lineRule="auto"/>
        <w:jc w:val="both"/>
        <w:rPr>
          <w:lang w:val="es-MX"/>
        </w:rPr>
      </w:pPr>
      <w:r w:rsidRPr="00396B9D">
        <w:rPr>
          <w:lang w:val="es-MX"/>
        </w:rPr>
        <w:t>Así voto.</w:t>
      </w:r>
    </w:p>
    <w:p w:rsidR="00FE7484" w:rsidRPr="00396B9D" w:rsidRDefault="00FE7484" w:rsidP="00396B9D">
      <w:pPr>
        <w:spacing w:line="360" w:lineRule="auto"/>
        <w:jc w:val="both"/>
        <w:rPr>
          <w:lang w:val="es-MX"/>
        </w:rPr>
      </w:pPr>
      <w:r w:rsidRPr="00396B9D">
        <w:rPr>
          <w:lang w:val="es-MX"/>
        </w:rPr>
        <w:t>Sobre la misma cuestión los Dres. NANCLARES y GÓMEZ, adhieren al voto que antecede.</w:t>
      </w:r>
    </w:p>
    <w:p w:rsidR="00FE7484" w:rsidRPr="00396B9D" w:rsidRDefault="00FE7484" w:rsidP="00396B9D">
      <w:pPr>
        <w:spacing w:line="360" w:lineRule="auto"/>
        <w:jc w:val="both"/>
        <w:rPr>
          <w:lang w:val="es-MX"/>
        </w:rPr>
      </w:pPr>
      <w:r w:rsidRPr="00396B9D">
        <w:rPr>
          <w:lang w:val="es-MX"/>
        </w:rPr>
        <w:t>Con lo que se dio por terminado el acto, procediéndose a dictar la sentencia que a continuación se inserta:</w:t>
      </w:r>
    </w:p>
    <w:p w:rsidR="00FE7484" w:rsidRPr="00396B9D" w:rsidRDefault="00FE7484" w:rsidP="00396B9D">
      <w:pPr>
        <w:spacing w:line="360" w:lineRule="auto"/>
        <w:jc w:val="both"/>
        <w:rPr>
          <w:lang w:val="es-MX"/>
        </w:rPr>
      </w:pPr>
      <w:r w:rsidRPr="00396B9D">
        <w:rPr>
          <w:lang w:val="es-MX"/>
        </w:rPr>
        <w:t>S E N T E N C I A:</w:t>
      </w:r>
    </w:p>
    <w:p w:rsidR="00FE7484" w:rsidRPr="00396B9D" w:rsidRDefault="00FE7484" w:rsidP="00396B9D">
      <w:pPr>
        <w:spacing w:line="360" w:lineRule="auto"/>
        <w:jc w:val="both"/>
        <w:rPr>
          <w:lang w:val="es-MX"/>
        </w:rPr>
      </w:pPr>
      <w:r w:rsidRPr="00396B9D">
        <w:rPr>
          <w:lang w:val="es-MX"/>
        </w:rPr>
        <w:t>Mendoza, 03 de noviembre de 2015.-</w:t>
      </w:r>
    </w:p>
    <w:p w:rsidR="00FE7484" w:rsidRPr="00396B9D" w:rsidRDefault="00FE7484" w:rsidP="00396B9D">
      <w:pPr>
        <w:spacing w:line="360" w:lineRule="auto"/>
        <w:jc w:val="both"/>
        <w:rPr>
          <w:lang w:val="es-MX"/>
        </w:rPr>
      </w:pPr>
      <w:r w:rsidRPr="00396B9D">
        <w:rPr>
          <w:lang w:val="es-MX"/>
        </w:rPr>
        <w:t>Y VISTOS:</w:t>
      </w:r>
    </w:p>
    <w:p w:rsidR="00FE7484" w:rsidRPr="00396B9D" w:rsidRDefault="00FE7484" w:rsidP="00396B9D">
      <w:pPr>
        <w:spacing w:line="360" w:lineRule="auto"/>
        <w:jc w:val="both"/>
        <w:rPr>
          <w:lang w:val="es-MX"/>
        </w:rPr>
      </w:pPr>
      <w:r w:rsidRPr="00396B9D">
        <w:rPr>
          <w:lang w:val="es-MX"/>
        </w:rPr>
        <w:t>Por el mérito que resulta del acuerdo precedente, la Sala Primera de la Excma. Suprema Corte de Justicia, fallando en definitiva,</w:t>
      </w:r>
    </w:p>
    <w:p w:rsidR="00FE7484" w:rsidRPr="00396B9D" w:rsidRDefault="00FE7484" w:rsidP="00396B9D">
      <w:pPr>
        <w:spacing w:line="360" w:lineRule="auto"/>
        <w:jc w:val="both"/>
        <w:rPr>
          <w:lang w:val="es-MX"/>
        </w:rPr>
      </w:pPr>
      <w:r w:rsidRPr="00396B9D">
        <w:rPr>
          <w:lang w:val="es-MX"/>
        </w:rPr>
        <w:t>R E S U E L V E:</w:t>
      </w:r>
    </w:p>
    <w:p w:rsidR="00FE7484" w:rsidRPr="00396B9D" w:rsidRDefault="00FE7484" w:rsidP="00396B9D">
      <w:pPr>
        <w:spacing w:line="360" w:lineRule="auto"/>
        <w:jc w:val="both"/>
        <w:rPr>
          <w:lang w:val="es-MX"/>
        </w:rPr>
      </w:pPr>
      <w:r w:rsidRPr="00396B9D">
        <w:rPr>
          <w:lang w:val="es-MX"/>
        </w:rPr>
        <w:t>I-Rechazar los recursos de inconstitucionalidad y casación interpuestos a fs. 45/75 de autos. En consecuencia, confirmar la sentencia dictada a fs. 3212/3217 por la Primera Cámara de Apelaciones en lo Civil, Comercial, Minas, de Paz y Tributario de la Primera Circunscripción Judicial, en los autos N° 114.749/50.353, caratulados: “R.R. C/C. S.R.L. Y OTS. P/D. Y P.”</w:t>
      </w:r>
    </w:p>
    <w:p w:rsidR="00FE7484" w:rsidRPr="00396B9D" w:rsidRDefault="00FE7484" w:rsidP="00396B9D">
      <w:pPr>
        <w:spacing w:line="360" w:lineRule="auto"/>
        <w:jc w:val="both"/>
        <w:rPr>
          <w:lang w:val="es-MX"/>
        </w:rPr>
      </w:pPr>
      <w:r w:rsidRPr="00396B9D">
        <w:rPr>
          <w:lang w:val="es-MX"/>
        </w:rPr>
        <w:t>II-Imponer las costas a la recurrente vencida.</w:t>
      </w:r>
    </w:p>
    <w:p w:rsidR="00FE7484" w:rsidRPr="00396B9D" w:rsidRDefault="00FE7484" w:rsidP="00396B9D">
      <w:pPr>
        <w:spacing w:line="360" w:lineRule="auto"/>
        <w:jc w:val="both"/>
        <w:rPr>
          <w:lang w:val="es-MX"/>
        </w:rPr>
      </w:pPr>
      <w:r w:rsidRPr="00396B9D">
        <w:rPr>
          <w:lang w:val="es-MX"/>
        </w:rPr>
        <w:t>III-Regular los honorarios profesionales intervinientes en esta instancia, a los Dres. Alberto Daniel VILLALON, en la suma de pesos DIECIOCHO MIL CUATROCIENTOS DOCE ($ 18.412); Alejandra PINAVARÍA, Ana Natacha KAPLUN, Carlos Rufino PALMA, María Valeria ÁVALOS, en la suma de pesos VEINTISÉIS MIL TRESCIENTOS CUATRO ($ 26.304) para CADA UNO de ellos (arts. 15 y 31 L.A.).-</w:t>
      </w:r>
    </w:p>
    <w:p w:rsidR="00FE7484" w:rsidRPr="00396B9D" w:rsidRDefault="00FE7484" w:rsidP="00396B9D">
      <w:pPr>
        <w:spacing w:line="360" w:lineRule="auto"/>
        <w:jc w:val="both"/>
        <w:rPr>
          <w:lang w:val="es-MX"/>
        </w:rPr>
      </w:pPr>
      <w:r w:rsidRPr="00396B9D">
        <w:rPr>
          <w:lang w:val="es-MX"/>
        </w:rPr>
        <w:t>Notifiquese. Ofíciese.</w:t>
      </w: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r w:rsidRPr="00396B9D">
        <w:rPr>
          <w:lang w:val="es-MX"/>
        </w:rPr>
        <w:t>DR. ALEJANDRO PEREZ HUALDE</w:t>
      </w:r>
    </w:p>
    <w:p w:rsidR="00FE7484" w:rsidRPr="00396B9D" w:rsidRDefault="00FE7484" w:rsidP="00396B9D">
      <w:pPr>
        <w:spacing w:line="360" w:lineRule="auto"/>
        <w:jc w:val="both"/>
        <w:rPr>
          <w:lang w:val="es-MX"/>
        </w:rPr>
      </w:pPr>
      <w:r w:rsidRPr="00396B9D">
        <w:rPr>
          <w:lang w:val="es-MX"/>
        </w:rPr>
        <w:t>Ministro</w:t>
      </w: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r w:rsidRPr="00396B9D">
        <w:rPr>
          <w:lang w:val="es-MX"/>
        </w:rPr>
        <w:t>DR. JORGE HORACIO NANCLARES</w:t>
      </w:r>
    </w:p>
    <w:p w:rsidR="00FE7484" w:rsidRPr="00396B9D" w:rsidRDefault="00FE7484" w:rsidP="00396B9D">
      <w:pPr>
        <w:spacing w:line="360" w:lineRule="auto"/>
        <w:jc w:val="both"/>
        <w:rPr>
          <w:lang w:val="es-MX"/>
        </w:rPr>
      </w:pPr>
      <w:r w:rsidRPr="00396B9D">
        <w:rPr>
          <w:lang w:val="es-MX"/>
        </w:rPr>
        <w:t>Ministro</w:t>
      </w: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p>
    <w:p w:rsidR="00FE7484" w:rsidRPr="00396B9D" w:rsidRDefault="00FE7484" w:rsidP="00396B9D">
      <w:pPr>
        <w:spacing w:line="360" w:lineRule="auto"/>
        <w:jc w:val="both"/>
        <w:rPr>
          <w:lang w:val="es-MX"/>
        </w:rPr>
      </w:pPr>
      <w:r w:rsidRPr="00396B9D">
        <w:rPr>
          <w:lang w:val="es-MX"/>
        </w:rPr>
        <w:t>DR. JULIO RAMON GOMEZ</w:t>
      </w:r>
    </w:p>
    <w:p w:rsidR="00FE7484" w:rsidRPr="00396B9D" w:rsidRDefault="00FE7484" w:rsidP="00396B9D">
      <w:pPr>
        <w:spacing w:line="360" w:lineRule="auto"/>
        <w:jc w:val="both"/>
        <w:rPr>
          <w:lang w:val="es-MX"/>
        </w:rPr>
      </w:pPr>
      <w:r w:rsidRPr="00396B9D">
        <w:rPr>
          <w:lang w:val="es-MX"/>
        </w:rPr>
        <w:t>Ministro</w:t>
      </w:r>
    </w:p>
    <w:p w:rsidR="00835F6B" w:rsidRPr="00396B9D" w:rsidRDefault="00835F6B" w:rsidP="00396B9D">
      <w:pPr>
        <w:spacing w:line="360" w:lineRule="auto"/>
        <w:jc w:val="both"/>
        <w:rPr>
          <w:lang w:val="es-MX"/>
        </w:rPr>
      </w:pPr>
    </w:p>
    <w:p w:rsidR="000314E8" w:rsidRPr="00396B9D" w:rsidRDefault="000314E8" w:rsidP="00396B9D">
      <w:pPr>
        <w:spacing w:line="360" w:lineRule="auto"/>
        <w:jc w:val="both"/>
        <w:rPr>
          <w:lang w:val="es-MX"/>
        </w:rPr>
      </w:pPr>
    </w:p>
    <w:sectPr w:rsidR="000314E8" w:rsidRPr="00396B9D" w:rsidSect="00396B9D">
      <w:headerReference w:type="default" r:id="rId8"/>
      <w:footnotePr>
        <w:pos w:val="beneathText"/>
      </w:footnotePr>
      <w:pgSz w:w="11907" w:h="16839" w:code="9"/>
      <w:pgMar w:top="720" w:right="720" w:bottom="720" w:left="720"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ACD" w:rsidRDefault="00430ACD">
      <w:r>
        <w:separator/>
      </w:r>
    </w:p>
  </w:endnote>
  <w:endnote w:type="continuationSeparator" w:id="0">
    <w:p w:rsidR="00430ACD" w:rsidRDefault="00430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helleyAllegro BT">
    <w:panose1 w:val="03030702030607090B03"/>
    <w:charset w:val="00"/>
    <w:family w:val="script"/>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ACD" w:rsidRDefault="00430ACD">
      <w:r>
        <w:separator/>
      </w:r>
    </w:p>
  </w:footnote>
  <w:footnote w:type="continuationSeparator" w:id="0">
    <w:p w:rsidR="00430ACD" w:rsidRDefault="00430A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F6B" w:rsidRDefault="00835F6B">
    <w:pPr>
      <w:pStyle w:val="Encabezado"/>
      <w:jc w:val="center"/>
      <w:rPr>
        <w:rFonts w:ascii="ShelleyAllegro BT" w:hAnsi="ShelleyAllegro BT"/>
        <w:sz w:val="44"/>
        <w:szCs w:val="4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484"/>
    <w:rsid w:val="000314E8"/>
    <w:rsid w:val="0030158C"/>
    <w:rsid w:val="00396B9D"/>
    <w:rsid w:val="00430ACD"/>
    <w:rsid w:val="00835F6B"/>
    <w:rsid w:val="00D429E2"/>
    <w:rsid w:val="00D72169"/>
    <w:rsid w:val="00FE49A2"/>
    <w:rsid w:val="00FE748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es-ES"/>
    </w:rPr>
  </w:style>
  <w:style w:type="paragraph" w:styleId="Ttulo1">
    <w:name w:val="heading 1"/>
    <w:basedOn w:val="Normal"/>
    <w:next w:val="Normal"/>
    <w:qFormat/>
    <w:pPr>
      <w:keepNext/>
      <w:numPr>
        <w:numId w:val="1"/>
      </w:numPr>
      <w:spacing w:line="360" w:lineRule="auto"/>
      <w:jc w:val="both"/>
      <w:outlineLvl w:val="0"/>
    </w:pPr>
    <w:rPr>
      <w:sz w:val="28"/>
    </w:rPr>
  </w:style>
  <w:style w:type="paragraph" w:styleId="Ttulo2">
    <w:name w:val="heading 2"/>
    <w:basedOn w:val="Normal"/>
    <w:next w:val="Normal"/>
    <w:qFormat/>
    <w:pPr>
      <w:keepNext/>
      <w:spacing w:line="360" w:lineRule="auto"/>
      <w:jc w:val="right"/>
      <w:outlineLvl w:val="1"/>
    </w:pPr>
    <w:rPr>
      <w:sz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paragraph" w:customStyle="1" w:styleId="Heading">
    <w:name w:val="Heading"/>
    <w:basedOn w:val="Normal"/>
    <w:next w:val="Textoindependiente"/>
    <w:pPr>
      <w:keepNext/>
      <w:spacing w:before="240" w:after="120"/>
    </w:pPr>
    <w:rPr>
      <w:rFonts w:ascii="Helvetica" w:hAnsi="Helvetica"/>
      <w:sz w:val="28"/>
    </w:rPr>
  </w:style>
  <w:style w:type="paragraph" w:styleId="Textoindependiente">
    <w:name w:val="Body Text"/>
    <w:basedOn w:val="Normal"/>
    <w:semiHidden/>
    <w:pPr>
      <w:spacing w:line="360" w:lineRule="auto"/>
      <w:jc w:val="both"/>
    </w:pPr>
    <w:rPr>
      <w:sz w:val="24"/>
      <w:lang w:val="es-MX"/>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Sangradetextonormal">
    <w:name w:val="Body Text Indent"/>
    <w:basedOn w:val="Normal"/>
    <w:semiHidden/>
    <w:pPr>
      <w:ind w:left="708" w:firstLine="2127"/>
    </w:pPr>
    <w:rPr>
      <w:sz w:val="28"/>
      <w:lang w:val="es-MX"/>
    </w:rPr>
  </w:style>
  <w:style w:type="paragraph" w:styleId="Sangra2detindependiente">
    <w:name w:val="Body Text Indent 2"/>
    <w:basedOn w:val="Normal"/>
    <w:semiHidden/>
    <w:pPr>
      <w:spacing w:line="360" w:lineRule="auto"/>
      <w:ind w:firstLine="708"/>
      <w:jc w:val="both"/>
    </w:pPr>
    <w:rPr>
      <w:sz w:val="26"/>
      <w:lang w:val="es-MX"/>
    </w:rPr>
  </w:style>
  <w:style w:type="paragraph" w:styleId="Textodeglobo">
    <w:name w:val="Balloon Text"/>
    <w:basedOn w:val="Normal"/>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es-ES"/>
    </w:rPr>
  </w:style>
  <w:style w:type="paragraph" w:styleId="Ttulo1">
    <w:name w:val="heading 1"/>
    <w:basedOn w:val="Normal"/>
    <w:next w:val="Normal"/>
    <w:qFormat/>
    <w:pPr>
      <w:keepNext/>
      <w:numPr>
        <w:numId w:val="1"/>
      </w:numPr>
      <w:spacing w:line="360" w:lineRule="auto"/>
      <w:jc w:val="both"/>
      <w:outlineLvl w:val="0"/>
    </w:pPr>
    <w:rPr>
      <w:sz w:val="28"/>
    </w:rPr>
  </w:style>
  <w:style w:type="paragraph" w:styleId="Ttulo2">
    <w:name w:val="heading 2"/>
    <w:basedOn w:val="Normal"/>
    <w:next w:val="Normal"/>
    <w:qFormat/>
    <w:pPr>
      <w:keepNext/>
      <w:spacing w:line="360" w:lineRule="auto"/>
      <w:jc w:val="right"/>
      <w:outlineLvl w:val="1"/>
    </w:pPr>
    <w:rPr>
      <w:sz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paragraph" w:customStyle="1" w:styleId="Heading">
    <w:name w:val="Heading"/>
    <w:basedOn w:val="Normal"/>
    <w:next w:val="Textoindependiente"/>
    <w:pPr>
      <w:keepNext/>
      <w:spacing w:before="240" w:after="120"/>
    </w:pPr>
    <w:rPr>
      <w:rFonts w:ascii="Helvetica" w:hAnsi="Helvetica"/>
      <w:sz w:val="28"/>
    </w:rPr>
  </w:style>
  <w:style w:type="paragraph" w:styleId="Textoindependiente">
    <w:name w:val="Body Text"/>
    <w:basedOn w:val="Normal"/>
    <w:semiHidden/>
    <w:pPr>
      <w:spacing w:line="360" w:lineRule="auto"/>
      <w:jc w:val="both"/>
    </w:pPr>
    <w:rPr>
      <w:sz w:val="24"/>
      <w:lang w:val="es-MX"/>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Sangradetextonormal">
    <w:name w:val="Body Text Indent"/>
    <w:basedOn w:val="Normal"/>
    <w:semiHidden/>
    <w:pPr>
      <w:ind w:left="708" w:firstLine="2127"/>
    </w:pPr>
    <w:rPr>
      <w:sz w:val="28"/>
      <w:lang w:val="es-MX"/>
    </w:rPr>
  </w:style>
  <w:style w:type="paragraph" w:styleId="Sangra2detindependiente">
    <w:name w:val="Body Text Indent 2"/>
    <w:basedOn w:val="Normal"/>
    <w:semiHidden/>
    <w:pPr>
      <w:spacing w:line="360" w:lineRule="auto"/>
      <w:ind w:firstLine="708"/>
      <w:jc w:val="both"/>
    </w:pPr>
    <w:rPr>
      <w:sz w:val="26"/>
      <w:lang w:val="es-MX"/>
    </w:rPr>
  </w:style>
  <w:style w:type="paragraph" w:styleId="Textodeglobo">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7285</Words>
  <Characters>40068</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doc</vt:lpstr>
    </vt:vector>
  </TitlesOfParts>
  <Company>Hewlett-Packard Company</Company>
  <LinksUpToDate>false</LinksUpToDate>
  <CharactersWithSpaces>47259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2</cp:revision>
  <cp:lastPrinted>2015-11-17T19:31:00Z</cp:lastPrinted>
  <dcterms:created xsi:type="dcterms:W3CDTF">2016-04-18T14:55:00Z</dcterms:created>
  <dcterms:modified xsi:type="dcterms:W3CDTF">2016-04-18T14:55:00Z</dcterms:modified>
</cp:coreProperties>
</file>